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d16e7338094c7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483.20,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rPr>
          <w:u w:val="single"/>
        </w:rPr>
        <w:t xml:space="preserve">Clinical</w:t>
      </w:r>
      <w:r>
        <w:t xml:space="preserve"> laboratory procedures; or</w:t>
      </w:r>
    </w:p>
    <w:p>
      <w:pPr>
        <w:pStyle w:val="kar_subparagraph"/>
      </w:pPr>
      <w:r>
        <w:t xml:space="preserve">2.</w:t>
      </w:r>
      <w:r>
        <w:t xml:space="preserve"> </w:t>
      </w:r>
      <w:r>
        <w:t xml:space="preserve">X-rays </w:t>
      </w:r>
      <w:r>
        <w:rPr>
          <w:u w:val="single"/>
        </w:rPr>
        <w:t xml:space="preserve">or imaging services</w:t>
      </w:r>
      <w:r>
        <w:t xml:space="preserve">.</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Patient Driven Payment Model (PDPM)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CoreLogic Commercial Express Valuation System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fifty (50)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Eleven (11) dollars per square foot for a wood frame;</w:t>
      </w:r>
    </w:p>
    <w:p>
      <w:pPr>
        <w:pStyle w:val="kar_subclause"/>
      </w:pPr>
      <w:r>
        <w:t xml:space="preserve">(ii)</w:t>
      </w:r>
      <w:r>
        <w:t xml:space="preserve"> </w:t>
      </w:r>
      <w:r>
        <w:t xml:space="preserve">Twelve (12) dollars per square foot for a steel frame; or</w:t>
      </w:r>
    </w:p>
    <w:p>
      <w:pPr>
        <w:pStyle w:val="kar_subclause"/>
      </w:pPr>
      <w:r>
        <w:t xml:space="preserve">(iii)</w:t>
      </w:r>
      <w:r>
        <w:t xml:space="preserve"> </w:t>
      </w:r>
      <w:r>
        <w:t xml:space="preserve">Thirty-one (31)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$1,420 for each fully-functioning door at the time of appraisal);</w:t>
      </w:r>
    </w:p>
    <w:p>
      <w:pPr>
        <w:pStyle w:val="kar_subparagraph"/>
      </w:pPr>
      <w:r>
        <w:t xml:space="preserve">5.</w:t>
      </w:r>
      <w:r>
        <w:t xml:space="preserve"> </w:t>
      </w:r>
      <w:r>
        <w:t xml:space="preserve">A door with a sound detector or sensing unit shall have a standard allowance of $865 per door;</w:t>
      </w:r>
    </w:p>
    <w:p>
      <w:pPr>
        <w:pStyle w:val="kar_subparagraph"/>
      </w:pPr>
      <w:r>
        <w:t xml:space="preserve">6.</w:t>
      </w:r>
      <w:r>
        <w:t xml:space="preserve"> </w:t>
      </w:r>
      <w:r>
        <w:t xml:space="preserve">Automatic sliding doors (the standard allowance shall be $25,450 per doorway);</w:t>
      </w:r>
    </w:p>
    <w:p>
      <w:pPr>
        <w:pStyle w:val="kar_subparagraph"/>
      </w:pPr>
      <w:r>
        <w:t xml:space="preserve">7.</w:t>
      </w:r>
      <w:r>
        <w:t xml:space="preserve"> </w:t>
      </w:r>
      <w:r>
        <w:t xml:space="preserve">An automatic door opener shall have a standard allowance of $9160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eighty (80)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$2,530 per floor serviced);</w:t>
      </w:r>
    </w:p>
    <w:p>
      <w:pPr>
        <w:pStyle w:val="kar_subparagraph"/>
      </w:pPr>
      <w:r>
        <w:t xml:space="preserve">12.</w:t>
      </w:r>
      <w:r>
        <w:t xml:space="preserve"> </w:t>
      </w:r>
      <w:r>
        <w:t xml:space="preserve">Dumb waiters (which shall have a minimum speed of fifty (50) feet per minute. The standard allowance shall be $20,500 for the initial two (2) stops for a manual door or $52,520 for the initial two (2) stops for an electric door and $5,050 per additional stop);</w:t>
      </w:r>
    </w:p>
    <w:p>
      <w:pPr>
        <w:pStyle w:val="kar_subparagraph"/>
      </w:pPr>
      <w:r>
        <w:t xml:space="preserve">13.</w:t>
      </w:r>
      <w:r>
        <w:t xml:space="preserve"> </w:t>
      </w:r>
      <w:r>
        <w:t xml:space="preserve">Skylights (the standard allowance shall be fifty-seven dollars per square foot);</w:t>
      </w:r>
    </w:p>
    <w:p>
      <w:pPr>
        <w:pStyle w:val="kar_subparagraph"/>
      </w:pPr>
      <w:r>
        <w:t xml:space="preserve">14.</w:t>
      </w:r>
      <w:r>
        <w:t xml:space="preserve"> </w:t>
      </w:r>
      <w:r>
        <w:t xml:space="preserve">Operable built-in oxygen delivery systems (valued at $425 per serviced bed);</w:t>
      </w:r>
    </w:p>
    <w:p>
      <w:pPr>
        <w:pStyle w:val="kar_subparagraph"/>
      </w:pPr>
      <w:r>
        <w:t xml:space="preserve">15.</w:t>
      </w:r>
      <w:r>
        <w:t xml:space="preserve"> </w:t>
      </w:r>
      <w:r>
        <w:t xml:space="preserve">Carpeted wainscoting (the standard allowance shall be eighty (80)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$375 for each ceiling fan without a light and $675 for each ceiling fan with a light;</w:t>
      </w:r>
    </w:p>
    <w:p>
      <w:pPr>
        <w:pStyle w:val="kar_subparagraph"/>
      </w:pPr>
      <w:r>
        <w:t xml:space="preserve">18.</w:t>
      </w:r>
      <w:r>
        <w:t xml:space="preserve"> </w:t>
      </w:r>
      <w:r>
        <w:t xml:space="preserve">Cupolas for which the standard allowance shall be $990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thirty-two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CoreLogic Commercial Express valuation system monetary limit unless a monetary limit is provided for that item in subsection (3)(z) of this section.</w:t>
      </w:r>
    </w:p>
    <w:p>
      <w:pPr>
        <w:pStyle w:val="kar_subsection"/>
      </w:pPr>
      <w:r>
        <w:t xml:space="preserve">(5)</w:t>
      </w:r>
      <w:r>
        <w:t xml:space="preserve"> </w:t>
      </w:r>
      <w:r>
        <w:t xml:space="preserve">The department shall use the corresponding CoreLogic Commercial Express valuation system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CoreLogic Commercial Express valuation system tables shall be used during an appraisal.</w:t>
      </w:r>
    </w:p>
    <w:p>
      <w:pPr>
        <w:pStyle w:val="kar_paragraph"/>
      </w:pPr>
      <w:r>
        <w:t xml:space="preserve">(b)</w:t>
      </w:r>
      <w:r>
        <w:t xml:space="preserve"> </w:t>
      </w:r>
      <w:r>
        <w:t xml:space="preserve">An adjustment calculation shall be performed if the most recent CoreLogic Commercial Express valuation system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CoreLogic Commercial Express valuation system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2024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w:t>
            </w:r>
            <w:r>
              <w:rPr>
                <w:u w:val="single"/>
              </w:rPr>
              <w:t xml:space="preserve">160.33</w:t>
            </w:r>
            <w:r>
              <w:t>[</w:t>
            </w:r>
            <w:r>
              <w:rPr>
                <w:strike w:val="true"/>
              </w:rPr>
              <w:t xml:space="preserve">160.14</w:t>
            </w:r>
            <w:r>
              <w:t>]</w:t>
            </w:r>
          </w:p>
        </w:tc>
        <w:tc>
          <w:tcPr/>
          <w:p>
            <w:pPr>
              <w:pStyle w:val="kar_table_cell"/>
            </w:pPr>
            <w:r>
              <w:t xml:space="preserve">$</w:t>
            </w:r>
            <w:r>
              <w:rPr>
                <w:u w:val="single"/>
              </w:rPr>
              <w:t xml:space="preserve">133.70</w:t>
            </w:r>
            <w:r>
              <w:t>[</w:t>
            </w:r>
            <w:r>
              <w:rPr>
                <w:strike w:val="true"/>
              </w:rPr>
              <w:t xml:space="preserve">101.81</w:t>
            </w:r>
            <w:r>
              <w:t>]</w:t>
            </w:r>
          </w:p>
        </w:tc>
        <w:tc>
          <w:tcPr/>
          <w:p>
            <w:pPr>
              <w:pStyle w:val="kar_table_cell"/>
            </w:pPr>
            <w:r>
              <w:t xml:space="preserve">$</w:t>
            </w:r>
            <w:r>
              <w:rPr>
                <w:u w:val="single"/>
              </w:rPr>
              <w:t xml:space="preserve">294.03</w:t>
            </w:r>
            <w:r>
              <w:t>[</w:t>
            </w:r>
            <w:r>
              <w:rPr>
                <w:strike w:val="true"/>
              </w:rPr>
              <w:t xml:space="preserve">261.95</w:t>
            </w:r>
            <w:r>
              <w:t>]</w:t>
            </w:r>
          </w:p>
        </w:tc>
      </w:tr>
      <w:tr>
        <w:tc>
          <w:tcPr/>
          <w:p>
            <w:pPr>
              <w:pStyle w:val="kar_table_cell"/>
            </w:pPr>
            <w:r>
              <w:t xml:space="preserve">Rural</w:t>
            </w:r>
          </w:p>
        </w:tc>
        <w:tc>
          <w:tcPr/>
          <w:p>
            <w:pPr>
              <w:pStyle w:val="kar_table_cell"/>
            </w:pPr>
            <w:r>
              <w:t xml:space="preserve">$</w:t>
            </w:r>
            <w:r>
              <w:rPr>
                <w:u w:val="single"/>
              </w:rPr>
              <w:t xml:space="preserve">136.05</w:t>
            </w:r>
            <w:r>
              <w:t>[</w:t>
            </w:r>
            <w:r>
              <w:rPr>
                <w:strike w:val="true"/>
              </w:rPr>
              <w:t xml:space="preserve">135.87</w:t>
            </w:r>
            <w:r>
              <w:t>]</w:t>
            </w:r>
          </w:p>
        </w:tc>
        <w:tc>
          <w:tcPr/>
          <w:p>
            <w:pPr>
              <w:pStyle w:val="kar_table_cell"/>
            </w:pPr>
            <w:r>
              <w:t xml:space="preserve">$</w:t>
            </w:r>
            <w:r>
              <w:rPr>
                <w:u w:val="single"/>
              </w:rPr>
              <w:t xml:space="preserve">121.58</w:t>
            </w:r>
            <w:r>
              <w:t>[</w:t>
            </w:r>
            <w:r>
              <w:rPr>
                <w:strike w:val="true"/>
              </w:rPr>
              <w:t xml:space="preserve">89.68</w:t>
            </w:r>
            <w:r>
              <w:t>]</w:t>
            </w:r>
          </w:p>
        </w:tc>
        <w:tc>
          <w:tcPr/>
          <w:p>
            <w:pPr>
              <w:pStyle w:val="kar_table_cell"/>
            </w:pPr>
            <w:r>
              <w:t xml:space="preserve">$</w:t>
            </w:r>
            <w:r>
              <w:rPr>
                <w:u w:val="single"/>
              </w:rPr>
              <w:t xml:space="preserve">257.63</w:t>
            </w:r>
            <w:r>
              <w:t>[</w:t>
            </w:r>
            <w:r>
              <w:rPr>
                <w:strike w:val="true"/>
              </w:rPr>
              <w:t xml:space="preserve">225.55</w:t>
            </w:r>
            <w:r>
              <w:t>]</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using the version of the CMS Nursing Home without Capital Market Basket that was effective on the July 1 that the inflation adjustment occurred;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w:t>
      </w:r>
      <w:r>
        <w:t xml:space="preserve">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adjusted every July 1 using the RS Means Construction Cost Indexes, and applying the total weighted average annual change of the Kentucky cities by the NF's total licensed NF beds; and</w:t>
      </w:r>
    </w:p>
    <w:p>
      <w:pPr>
        <w:pStyle w:val="kar_clause"/>
      </w:pPr>
      <w:r>
        <w:t xml:space="preserve">b.</w:t>
      </w:r>
      <w:r>
        <w:t xml:space="preserve"> </w:t>
      </w:r>
      <w:r>
        <w:t xml:space="preserve">Not exceed $</w:t>
      </w:r>
      <w:r>
        <w:rPr>
          <w:u w:val="single"/>
        </w:rPr>
        <w:t xml:space="preserve">80,278</w:t>
      </w:r>
      <w:r>
        <w:t>[</w:t>
      </w:r>
      <w:r>
        <w:rPr>
          <w:strike w:val="true"/>
        </w:rPr>
        <w:t xml:space="preserve">79,775</w:t>
      </w:r>
      <w:r>
        <w:t>]</w:t>
      </w:r>
      <w:r>
        <w:t xml:space="preserve"> effective July 1, </w:t>
      </w:r>
      <w:r>
        <w:rPr>
          <w:u w:val="single"/>
        </w:rPr>
        <w:t xml:space="preserve">2024</w:t>
      </w:r>
      <w:r>
        <w:t>[</w:t>
      </w:r>
      <w:r>
        <w:rPr>
          <w:strike w:val="true"/>
        </w:rPr>
        <w:t xml:space="preserve">2023</w:t>
      </w:r>
      <w:r>
        <w:t>]</w:t>
      </w:r>
      <w:r>
        <w:t xml:space="preserve">,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w:t>
      </w:r>
      <w:r>
        <w:rPr>
          <w:u w:val="single"/>
        </w:rPr>
        <w:t xml:space="preserve">80,278</w:t>
      </w:r>
      <w:r>
        <w:t>[</w:t>
      </w:r>
      <w:r>
        <w:rPr>
          <w:strike w:val="true"/>
        </w:rPr>
        <w:t xml:space="preserve">79,775</w:t>
      </w:r>
      <w:r>
        <w:t>]</w:t>
      </w:r>
      <w:r>
        <w:t xml:space="preserve"> effective July 1, </w:t>
      </w:r>
      <w:r>
        <w:rPr>
          <w:u w:val="single"/>
        </w:rPr>
        <w:t xml:space="preserve">2024</w:t>
      </w:r>
      <w:r>
        <w:t>[</w:t>
      </w:r>
      <w:r>
        <w:rPr>
          <w:strike w:val="true"/>
        </w:rPr>
        <w:t xml:space="preserve">2023</w:t>
      </w:r>
      <w:r>
        <w:t>]</w:t>
      </w:r>
      <w:r>
        <w:t xml:space="preserve">,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w:t>
      </w:r>
      <w:r>
        <w:rPr>
          <w:u w:val="single"/>
        </w:rPr>
        <w:t xml:space="preserve">80,278</w:t>
      </w:r>
      <w:r>
        <w:t>[</w:t>
      </w:r>
      <w:r>
        <w:rPr>
          <w:strike w:val="true"/>
        </w:rPr>
        <w:t xml:space="preserve">79,775</w:t>
      </w:r>
      <w:r>
        <w:t>]</w:t>
      </w:r>
      <w:r>
        <w:t xml:space="preserve"> effective July 1, </w:t>
      </w:r>
      <w:r>
        <w:rPr>
          <w:u w:val="single"/>
        </w:rPr>
        <w:t xml:space="preserve">2024</w:t>
      </w:r>
      <w:r>
        <w:t>[</w:t>
      </w:r>
      <w:r>
        <w:rPr>
          <w:strike w:val="true"/>
        </w:rPr>
        <w:t xml:space="preserve">2023</w:t>
      </w:r>
      <w:r>
        <w:t>]</w:t>
      </w:r>
      <w:r>
        <w:t xml:space="preserve">,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PDPM Adapted Minimum Data Set (MDS) 3.0,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the PDPM Adapted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w:t>
      </w:r>
      <w:r>
        <w:rPr>
          <w:u w:val="single"/>
        </w:rPr>
        <w:t xml:space="preserve">2024</w:t>
      </w:r>
      <w:r>
        <w:t>[</w:t>
      </w:r>
      <w:r>
        <w:rPr>
          <w:strike w:val="true"/>
        </w:rPr>
        <w:t xml:space="preserve">2023</w:t>
      </w:r>
      <w:r>
        <w:t>]</w:t>
      </w:r>
      <w:r>
        <w:t xml:space="preserve">, for the purpose of revision to MDS data extracted June 30, </w:t>
      </w:r>
      <w:r>
        <w:rPr>
          <w:u w:val="single"/>
        </w:rPr>
        <w:t xml:space="preserve">2024</w:t>
      </w:r>
      <w:r>
        <w:t>[</w:t>
      </w:r>
      <w:r>
        <w:rPr>
          <w:strike w:val="true"/>
        </w:rPr>
        <w:t xml:space="preserve">2023</w:t>
      </w:r>
      <w:r>
        <w:t>]</w:t>
      </w:r>
      <w:r>
        <w:t xml:space="preserve">, shall not be utilized;</w:t>
      </w:r>
    </w:p>
    <w:p>
      <w:pPr>
        <w:pStyle w:val="kar_paragraph"/>
      </w:pPr>
      <w:r>
        <w:t xml:space="preserve">(b)</w:t>
      </w:r>
      <w:r>
        <w:t xml:space="preserve"> </w:t>
      </w:r>
      <w:r>
        <w:t xml:space="preserve">Classify the data cited in paragraph (a) of this subsection through the Patient Driven Payment Model (PDPM) resident classification system, nursing component;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thirty (30)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p>
    <w:p>
      <w:pPr>
        <w:pStyle w:val="kar_subsection"/>
      </w:pPr>
      <w:r>
        <w:t xml:space="preserve">(4)</w:t>
      </w:r>
      <w:r>
        <w:t xml:space="preserve"> </w:t>
      </w:r>
      <w:r>
        <w:t xml:space="preserve">If the department's review, in accordance with subsection (3)(c)3.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w:t>
      </w:r>
      <w:r>
        <w:rPr>
          <w:u w:val="single"/>
        </w:rPr>
        <w:t xml:space="preserve">quarter</w:t>
      </w:r>
      <w:r>
        <w:t>[</w:t>
      </w:r>
      <w:r>
        <w:rPr>
          <w:strike w:val="true"/>
        </w:rPr>
        <w:t xml:space="preserve">month</w:t>
      </w:r>
      <w:r>
        <w:t>]</w:t>
      </w:r>
      <w:r>
        <w:t xml:space="preserve">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paragraph"/>
      </w:pPr>
      <w:r>
        <w:t>[</w:t>
      </w:r>
      <w:r>
        <w:rPr>
          <w:strike w:val="true"/>
        </w:rPr>
        <w:t xml:space="preserve">(d)</w:t>
      </w:r>
      <w:r>
        <w:t>]</w:t>
      </w:r>
      <w:r>
        <w:t xml:space="preserve"> </w:t>
      </w:r>
      <w:r>
        <w:t>[</w:t>
      </w:r>
      <w:r>
        <w:rPr>
          <w:strike w:val="true"/>
        </w:rPr>
        <w:t xml:space="preserve">Rate sanctions shall not be applied:</w:t>
      </w:r>
      <w:r>
        <w:t>]</w:t>
      </w:r>
    </w:p>
    <w:p>
      <w:pPr>
        <w:pStyle w:val="kar_subparagraph"/>
      </w:pPr>
      <w:r>
        <w:t>[</w:t>
      </w:r>
      <w:r>
        <w:rPr>
          <w:strike w:val="true"/>
        </w:rPr>
        <w:t xml:space="preserve">1.</w:t>
      </w:r>
      <w:r>
        <w:t>]</w:t>
      </w:r>
      <w:r>
        <w:t xml:space="preserve"> </w:t>
      </w:r>
      <w:r>
        <w:t>[</w:t>
      </w:r>
      <w:r>
        <w:rPr>
          <w:strike w:val="true"/>
        </w:rPr>
        <w:t xml:space="preserve">Until the rates effective July 1, 2025 are in effect; and</w:t>
      </w:r>
      <w:r>
        <w:t>]</w:t>
      </w:r>
    </w:p>
    <w:p>
      <w:pPr>
        <w:pStyle w:val="kar_subparagraph"/>
      </w:pPr>
      <w:r>
        <w:t>[</w:t>
      </w:r>
      <w:r>
        <w:rPr>
          <w:strike w:val="true"/>
        </w:rPr>
        <w:t xml:space="preserve">2.</w:t>
      </w:r>
      <w:r>
        <w:t>]</w:t>
      </w:r>
      <w:r>
        <w:t xml:space="preserve"> </w:t>
      </w:r>
      <w:r>
        <w:t>[</w:t>
      </w:r>
      <w:r>
        <w:rPr>
          <w:strike w:val="true"/>
        </w:rPr>
        <w:t xml:space="preserve">Except for those rates that are effective on and after July 1, 2025 as specified in subsection (14) of this section.</w:t>
      </w:r>
      <w:r>
        <w:t>]</w:t>
      </w:r>
    </w:p>
    <w:p>
      <w:pPr>
        <w:pStyle w:val="kar_subsection"/>
      </w:pPr>
      <w:r>
        <w:t xml:space="preserve">(14)</w:t>
      </w:r>
      <w:r>
        <w:t xml:space="preserve"> </w:t>
      </w:r>
      <w:r>
        <w:t xml:space="preserve">Beginning with rates effective July 1, 2025, upon conclusion of a departmental review of MDS data, in accordance with this section of this administrative regulation:</w:t>
      </w:r>
    </w:p>
    <w:p>
      <w:pPr>
        <w:pStyle w:val="kar_paragraph"/>
      </w:pPr>
      <w:r>
        <w:t xml:space="preserve">(a)</w:t>
      </w:r>
      <w:r>
        <w:t xml:space="preserve"> </w:t>
      </w:r>
      <w:r>
        <w:t xml:space="preserve">The department shall recalculate the facility's case mix index based on the review's findings; and</w:t>
      </w:r>
    </w:p>
    <w:p>
      <w:pPr>
        <w:pStyle w:val="kar_paragraph"/>
      </w:pPr>
      <w:r>
        <w:t xml:space="preserve">(b)</w:t>
      </w:r>
      <w:r>
        <w:t xml:space="preserve"> </w:t>
      </w:r>
      <w:r>
        <w:t xml:space="preserve">If a recalculated case mix index results in a change to the NF's established rate or rates, the rate or rates shall be recalculated and any payment adjustment shall be made.</w:t>
      </w:r>
    </w:p>
    <w:p>
      <w:pPr>
        <w:pStyle w:val="kar_subsection"/>
      </w:pPr>
      <w:r>
        <w:t xml:space="preserve">(15)</w:t>
      </w:r>
      <w:r>
        <w:t xml:space="preserve"> </w:t>
      </w:r>
      <w:r>
        <w:t>[</w:t>
      </w:r>
      <w:r>
        <w:rPr>
          <w:strike w:val="true"/>
        </w:rPr>
        <w:t xml:space="preserve">For rates effective April 1, 2024, through June 30, 2024, the rate shall be equal to the rate effective January 1, 2024.</w:t>
      </w:r>
      <w:r>
        <w:t>]</w:t>
      </w:r>
    </w:p>
    <w:p>
      <w:pPr>
        <w:pStyle w:val="kar_subsection"/>
      </w:pPr>
      <w:r>
        <w:t>[</w:t>
      </w:r>
      <w:r>
        <w:rPr>
          <w:strike w:val="true"/>
        </w:rPr>
        <w:t xml:space="preserve">(16)</w:t>
      </w:r>
      <w:r>
        <w:t>]</w:t>
      </w:r>
      <w:r>
        <w:t xml:space="preserve"> </w:t>
      </w:r>
      <w:r>
        <w:t xml:space="preserve">Beginning July</w:t>
      </w:r>
      <w:r>
        <w:t>[</w:t>
      </w:r>
      <w:r>
        <w:rPr>
          <w:strike w:val="true"/>
        </w:rPr>
        <w:t xml:space="preserve">,</w:t>
      </w:r>
      <w:r>
        <w:t>]</w:t>
      </w:r>
      <w:r>
        <w:t xml:space="preserve"> 1, 2024, the PDPM case-mix index shall be phased in</w:t>
      </w:r>
      <w:r>
        <w:rPr>
          <w:u w:val="single"/>
        </w:rPr>
        <w:t xml:space="preserve">.</w:t>
      </w:r>
      <w:r>
        <w:t>[</w:t>
      </w:r>
      <w:r>
        <w:rPr>
          <w:strike w:val="true"/>
        </w:rPr>
        <w:t xml:space="preserve">using the following schedule:</w:t>
      </w:r>
      <w:r>
        <w:t>]</w:t>
      </w:r>
    </w:p>
    <w:p>
      <w:pPr>
        <w:pStyle w:val="kar_paragraph"/>
      </w:pPr>
      <w:r>
        <w:t>[</w:t>
      </w:r>
      <w:r>
        <w:rPr>
          <w:strike w:val="true"/>
        </w:rPr>
        <w:t xml:space="preserve">(a)</w:t>
      </w:r>
      <w:r>
        <w:t>]</w:t>
      </w:r>
      <w:r>
        <w:t xml:space="preserve"> </w:t>
      </w:r>
      <w:r>
        <w:t>[</w:t>
      </w:r>
      <w:r>
        <w:rPr>
          <w:strike w:val="true"/>
        </w:rPr>
        <w:t xml:space="preserve">For rates effective July 1, 2024 through September 30, 2024, the case-mix index shall be comprised of twenty-five (25) percent of the PDPM CMI and seventy-five (75) percent of the RUG-III CMI that was in effect prior to the transition.</w:t>
      </w:r>
      <w:r>
        <w:t>]</w:t>
      </w:r>
    </w:p>
    <w:p>
      <w:pPr>
        <w:pStyle w:val="kar_paragraph"/>
      </w:pPr>
      <w:r>
        <w:t>[</w:t>
      </w:r>
      <w:r>
        <w:rPr>
          <w:strike w:val="true"/>
        </w:rPr>
        <w:t xml:space="preserve">(b)</w:t>
      </w:r>
      <w:r>
        <w:t>]</w:t>
      </w:r>
      <w:r>
        <w:t xml:space="preserve"> </w:t>
      </w:r>
      <w:r>
        <w:t>[</w:t>
      </w:r>
      <w:r>
        <w:rPr>
          <w:strike w:val="true"/>
        </w:rPr>
        <w:t xml:space="preserve">For rates effective October 1, 2024 through December 31, 2024, the case-mix index shall be comprised of fifty (50) percent of the PDPM CMI and fifty (50) percent of the RUG-III CMI that was in effect prior to the transition.</w:t>
      </w:r>
      <w:r>
        <w:t>]</w:t>
      </w:r>
    </w:p>
    <w:p>
      <w:pPr>
        <w:pStyle w:val="kar_paragraph"/>
      </w:pPr>
      <w:r>
        <w:t>[</w:t>
      </w:r>
      <w:r>
        <w:rPr>
          <w:strike w:val="true"/>
        </w:rPr>
        <w:t xml:space="preserve">(c)</w:t>
      </w:r>
      <w:r>
        <w:t>]</w:t>
      </w:r>
      <w:r>
        <w:t xml:space="preserve"> </w:t>
      </w:r>
      <w:r>
        <w:t>[</w:t>
      </w:r>
      <w:r>
        <w:rPr>
          <w:strike w:val="true"/>
        </w:rPr>
        <w:t xml:space="preserve">For rates effective January 1, 2025 through March 31, 2025, the case-mix index shall be comprised of seventy-five (75) percent of the PDPM CMI and twenty-five (25) percent of the RUG-III CMI that was in effect prior to the transition.</w:t>
      </w:r>
      <w:r>
        <w:t>]</w:t>
      </w:r>
    </w:p>
    <w:p>
      <w:pPr>
        <w:pStyle w:val="kar_subsection"/>
      </w:pPr>
      <w:r>
        <w:rPr>
          <w:u w:val="single"/>
        </w:rPr>
        <w:t xml:space="preserve">(16)</w:t>
      </w:r>
      <w:r>
        <w:t>[</w:t>
      </w:r>
      <w:r>
        <w:rPr>
          <w:strike w:val="true"/>
        </w:rPr>
        <w:t xml:space="preserve">(d)</w:t>
      </w:r>
      <w:r>
        <w:t>]</w:t>
      </w:r>
      <w:r>
        <w:t xml:space="preserve"> </w:t>
      </w:r>
      <w:r>
        <w:t xml:space="preserve">Beginning April 1, 2025, the case-mix index shall be comprised of 100 percent of the PDPM CMI </w:t>
      </w:r>
      <w:r>
        <w:rPr>
          <w:u w:val="single"/>
        </w:rPr>
        <w:t xml:space="preserve">at full phase in.</w:t>
      </w:r>
      <w:r>
        <w:t>[</w:t>
      </w:r>
      <w:r>
        <w:rPr>
          <w:strike w:val="true"/>
        </w:rPr>
        <w:t xml:space="preserve">and zero percent of the RUG-III CMI that was in effect prior to the transition.</w:t>
      </w:r>
      <w:r>
        <w:t>]</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 </w:t>
      </w:r>
      <w:r>
        <w:rPr>
          <w:u w:val="single"/>
        </w:rPr>
        <w:t xml:space="preserve">or representative</w:t>
      </w:r>
      <w:r>
        <w:t xml:space="preserve">;</w:t>
      </w:r>
    </w:p>
    <w:p>
      <w:pPr>
        <w:pStyle w:val="kar_paragraph"/>
      </w:pPr>
      <w:r>
        <w:t xml:space="preserve">(b)</w:t>
      </w:r>
      <w:r>
        <w:t xml:space="preserve"> </w:t>
      </w:r>
      <w:r>
        <w:t xml:space="preserve">The NF informs the resident </w:t>
      </w:r>
      <w:r>
        <w:rPr>
          <w:u w:val="single"/>
        </w:rPr>
        <w:t xml:space="preserve">or representative</w:t>
      </w:r>
      <w:r>
        <w:t xml:space="preserve">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thirty (30)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Except as otherwise covered pursuant to Title 907 KAR, 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(9)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w:t>
      </w:r>
      <w:r>
        <w:t>[</w:t>
      </w:r>
      <w:r>
        <w:rPr>
          <w:strike w:val="true"/>
        </w:rPr>
        <w:t xml:space="preserve">oxygen therapy and for </w:t>
      </w:r>
      <w:r>
        <w:t>]</w:t>
      </w:r>
      <w:r>
        <w:t xml:space="preserve">ancillary services provided to an individual in a critical access hospital swing bed, the department shall reimburse for an ancillary service </w:t>
      </w:r>
      <w:r>
        <w:t>[</w:t>
      </w:r>
      <w:r>
        <w:rPr>
          <w:strike w:val="true"/>
        </w:rPr>
        <w:t xml:space="preserve">that meets the criteria established in 907 KAR 1:023 </w:t>
      </w:r>
      <w:r>
        <w:t>]</w:t>
      </w:r>
      <w:r>
        <w:t xml:space="preserve">utilizing a per diem component to the rates, updated every July 1.</w:t>
      </w:r>
    </w:p>
    <w:p>
      <w:pPr>
        <w:pStyle w:val="kar_paragraph"/>
      </w:pPr>
      <w:r>
        <w:rPr>
          <w:u w:val="single"/>
        </w:rPr>
        <w:t xml:space="preserve">(a)</w:t>
      </w:r>
      <w:r>
        <w:t xml:space="preserve"> </w:t>
      </w:r>
      <w:r>
        <w:t xml:space="preserve">Prior year utilization based on claims</w:t>
      </w:r>
      <w:r>
        <w:rPr>
          <w:u w:val="single"/>
        </w:rPr>
        <w:t xml:space="preserve"> through June 30, 2024,</w:t>
      </w:r>
      <w:r>
        <w:t xml:space="preserve"> and the corresponding outpatient procedure code rate listed in the Medicaid Physician Fee Schedule established in 907 KAR 3:010, Section 1(17)</w:t>
      </w:r>
      <w:r>
        <w:rPr>
          <w:u w:val="single"/>
        </w:rPr>
        <w:t xml:space="preserve">.</w:t>
      </w:r>
      <w:r>
        <w:rPr>
          <w:u w:val="single"/>
        </w:rPr>
        <w:t xml:space="preserve">For oxygen therapy procedure codes, the Medicaid DME Program fee schedule established in 907 KAR 1:479 shall be utilized.</w:t>
      </w:r>
    </w:p>
    <w:p>
      <w:pPr>
        <w:pStyle w:val="kar_paragraph"/>
      </w:pPr>
      <w:r>
        <w:rPr>
          <w:u w:val="single"/>
        </w:rPr>
        <w:t xml:space="preserve">(b)</w:t>
      </w:r>
      <w:r>
        <w:t xml:space="preserve"> </w:t>
      </w:r>
      <w:r>
        <w:rPr>
          <w:u w:val="single"/>
        </w:rPr>
        <w:t xml:space="preserve">For dates of service July 1, 2024, and after, the volume of services shall be reported by the provider on the Kentucky Medicaid Nursing Facility Ancillary Supplemental Schedules. The schedules on file by the department as of June 1 of each year shall be used to determine the ancillary fees.</w:t>
      </w:r>
    </w:p>
    <w:p>
      <w:pPr>
        <w:pStyle w:val="kar_paragraph"/>
      </w:pPr>
      <w:r>
        <w:rPr>
          <w:u w:val="single"/>
        </w:rPr>
        <w:t xml:space="preserve">(c)</w:t>
      </w:r>
      <w:r>
        <w:t xml:space="preserve"> </w:t>
      </w:r>
      <w:r>
        <w:rPr>
          <w:u w:val="single"/>
        </w:rPr>
        <w:t xml:space="preserve">The sum from paragraphs (a) and (b) above</w:t>
      </w:r>
      <w:r>
        <w:t xml:space="preserve"> shall be divided by the number of the provider's paid Medicaid days for the same time period.</w:t>
      </w:r>
    </w:p>
    <w:p>
      <w:pPr>
        <w:pStyle w:val="kar_subsection"/>
      </w:pPr>
      <w:r>
        <w:t>[</w:t>
      </w:r>
      <w:r>
        <w:rPr>
          <w:strike w:val="true"/>
        </w:rPr>
        <w:t xml:space="preserve">(2)</w:t>
      </w:r>
      <w:r>
        <w:t>]</w:t>
      </w:r>
      <w:r>
        <w:t xml:space="preserve"> </w:t>
      </w:r>
      <w:r>
        <w:t>[</w:t>
      </w:r>
      <w:r>
        <w:rPr>
          <w:strike w:val="true"/>
        </w:rPr>
        <w:t xml:space="preserve">The department shall reimburse for an oxygen therapy utilizing the Medicaid DME Program fee schedule established in 907 KAR 1:479.</w:t>
      </w:r>
      <w:r>
        <w:t>]</w:t>
      </w:r>
    </w:p>
    <w:p>
      <w:pPr>
        <w:pStyle w:val="kar_subsection"/>
      </w:pPr>
      <w:r>
        <w:rPr>
          <w:u w:val="single"/>
        </w:rPr>
        <w:t xml:space="preserve">(2)</w:t>
      </w:r>
      <w:r>
        <w:t>[</w:t>
      </w:r>
      <w:r>
        <w:rPr>
          <w:strike w:val="true"/>
        </w:rPr>
        <w:t xml:space="preserve">(3)</w:t>
      </w:r>
      <w:r>
        <w:t>]</w:t>
      </w:r>
      <w:r>
        <w:t xml:space="preserve"> </w:t>
      </w:r>
      <w:r>
        <w:t xml:space="preserve">Respiratory therapy and respiratory therapy supplies shall be a routine service.</w:t>
      </w:r>
    </w:p>
    <w:p>
      <w:pPr>
        <w:pStyle w:val="kar_subsection"/>
      </w:pPr>
      <w:r>
        <w:rPr>
          <w:u w:val="single"/>
        </w:rPr>
        <w:t xml:space="preserve">(3)</w:t>
      </w:r>
      <w:r>
        <w:t>[</w:t>
      </w:r>
      <w:r>
        <w:rPr>
          <w:strike w:val="true"/>
        </w:rPr>
        <w:t xml:space="preserve">(4)</w:t>
      </w:r>
      <w:r>
        <w:t>]</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rPr>
          <w:u w:val="single"/>
        </w:rPr>
        <w:t xml:space="preserve">Section 13.</w:t>
      </w:r>
      <w:r>
        <w:t xml:space="preserve"> </w:t>
      </w:r>
      <w:r>
        <w:rPr>
          <w:u w:val="single"/>
        </w:rPr>
        <w:t xml:space="preserve">Quality Program.</w:t>
      </w:r>
    </w:p>
    <w:p>
      <w:pPr>
        <w:pStyle w:val="kar_subsection"/>
      </w:pPr>
      <w:r>
        <w:rPr>
          <w:u w:val="single"/>
        </w:rPr>
        <w:t xml:space="preserve">(1)</w:t>
      </w:r>
      <w:r>
        <w:t xml:space="preserve"> </w:t>
      </w:r>
      <w:r>
        <w:rPr>
          <w:u w:val="single"/>
        </w:rPr>
        <w:t xml:space="preserve">Beginning with rates effective July 1, 2025, there shall be a quality add on component in the prospective per diem rates, distributed from a pool of combined funding (state and federal share) from the provider assessment.</w:t>
      </w:r>
    </w:p>
    <w:p>
      <w:pPr>
        <w:pStyle w:val="kar_paragraph"/>
      </w:pPr>
      <w:r>
        <w:rPr>
          <w:u w:val="single"/>
        </w:rPr>
        <w:t xml:space="preserve">(a)</w:t>
      </w:r>
      <w:r>
        <w:t xml:space="preserve"> </w:t>
      </w:r>
      <w:r>
        <w:rPr>
          <w:u w:val="single"/>
        </w:rPr>
        <w:t xml:space="preserve">For rates effective July 1, 2025, through December 31, 2025, the quality pool shall be five (5) percent of the increase to the provider assessment effective July 1, 2024.</w:t>
      </w:r>
    </w:p>
    <w:p>
      <w:pPr>
        <w:pStyle w:val="kar_paragraph"/>
      </w:pPr>
      <w:r>
        <w:rPr>
          <w:u w:val="single"/>
        </w:rPr>
        <w:t xml:space="preserve">(b)</w:t>
      </w:r>
      <w:r>
        <w:t xml:space="preserve"> </w:t>
      </w:r>
      <w:r>
        <w:rPr>
          <w:u w:val="single"/>
        </w:rPr>
        <w:t xml:space="preserve">For rates effective January 1, 2026, through June 30, 2026, the quality pool shall be ten (10) percent of the increase to the provider assessment effective July 1, 2024.</w:t>
      </w:r>
    </w:p>
    <w:p>
      <w:pPr>
        <w:pStyle w:val="kar_paragraph"/>
      </w:pPr>
      <w:r>
        <w:rPr>
          <w:u w:val="single"/>
        </w:rPr>
        <w:t xml:space="preserve">(c)</w:t>
      </w:r>
      <w:r>
        <w:t xml:space="preserve"> </w:t>
      </w:r>
      <w:r>
        <w:rPr>
          <w:u w:val="single"/>
        </w:rPr>
        <w:t xml:space="preserve">For rates effective July 1, 2026, through December 31, 2026, the quality pool shall be fifteen (15) percent of the increase to the provider assessment effective July 1, 2024.</w:t>
      </w:r>
    </w:p>
    <w:p>
      <w:pPr>
        <w:pStyle w:val="kar_paragraph"/>
      </w:pPr>
      <w:r>
        <w:rPr>
          <w:u w:val="single"/>
        </w:rPr>
        <w:t xml:space="preserve">(d)</w:t>
      </w:r>
      <w:r>
        <w:t xml:space="preserve"> </w:t>
      </w:r>
      <w:r>
        <w:rPr>
          <w:u w:val="single"/>
        </w:rPr>
        <w:t xml:space="preserve">For rates effective January 1, 2027 and after, the quality pool shall be twenty (20) percent of the increase to the provider assessment effective July 1, 2024.</w:t>
      </w:r>
    </w:p>
    <w:p>
      <w:pPr>
        <w:pStyle w:val="kar_subsection"/>
      </w:pPr>
      <w:r>
        <w:rPr>
          <w:u w:val="single"/>
        </w:rPr>
        <w:t xml:space="preserve">(2)</w:t>
      </w:r>
      <w:r>
        <w:t xml:space="preserve"> </w:t>
      </w:r>
      <w:r>
        <w:rPr>
          <w:u w:val="single"/>
        </w:rPr>
        <w:t xml:space="preserve">The allowance to offset the provider assessment as determined in Section 5(5)(a) shall be reduced in order to fund the quality pool.</w:t>
      </w:r>
    </w:p>
    <w:p>
      <w:pPr>
        <w:pStyle w:val="kar_subsection"/>
      </w:pPr>
      <w:r>
        <w:rPr>
          <w:u w:val="single"/>
        </w:rPr>
        <w:t xml:space="preserve">(3)</w:t>
      </w:r>
      <w:r>
        <w:t xml:space="preserve"> </w:t>
      </w:r>
      <w:r>
        <w:rPr>
          <w:u w:val="single"/>
        </w:rPr>
        <w:t xml:space="preserve">Any leftover funds shall be rolled into the pool for the next state fiscal year.</w:t>
      </w:r>
    </w:p>
    <w:p>
      <w:pPr>
        <w:pStyle w:val="kar_subsection"/>
      </w:pPr>
      <w:r>
        <w:rPr>
          <w:u w:val="single"/>
        </w:rPr>
        <w:t xml:space="preserve">(4)</w:t>
      </w:r>
      <w:r>
        <w:t xml:space="preserve"> </w:t>
      </w:r>
      <w:r>
        <w:rPr>
          <w:u w:val="single"/>
        </w:rPr>
        <w:t xml:space="preserve">Points shall be determined on a tiered scoring allocation system, as set by the department, based on metrics from CMS Care Compare, the Supplemental Medicaid Schedules, and the Kentucky Medicaid Nursing Facility Quality Program Behavioral Health Metric Attestation Statement and may be adjusted periodically.</w:t>
      </w:r>
    </w:p>
    <w:p>
      <w:pPr>
        <w:pStyle w:val="kar_subsection"/>
      </w:pPr>
      <w:r>
        <w:rPr>
          <w:u w:val="single"/>
        </w:rPr>
        <w:t xml:space="preserve">(5)</w:t>
      </w:r>
      <w:r>
        <w:t xml:space="preserve"> </w:t>
      </w:r>
      <w:r>
        <w:rPr>
          <w:u w:val="single"/>
        </w:rPr>
        <w:t xml:space="preserve">Each metric shall be weighted equally in the collection of total points and distributed by the facility's percentage of weighted Medicaid days.</w:t>
      </w:r>
    </w:p>
    <w:p>
      <w:pPr>
        <w:pStyle w:val="kar_subsection"/>
      </w:pPr>
      <w:r>
        <w:rPr>
          <w:u w:val="single"/>
        </w:rPr>
        <w:t xml:space="preserve">(6)</w:t>
      </w:r>
      <w:r>
        <w:t xml:space="preserve"> </w:t>
      </w:r>
      <w:r>
        <w:rPr>
          <w:u w:val="single"/>
        </w:rPr>
        <w:t xml:space="preserve">The quality add on shall be updated on a quarterly basis based on the most recent information as of the day preceding the rate effective date.</w:t>
      </w:r>
    </w:p>
    <w:p>
      <w:pPr>
        <w:pStyle w:val="kar_section"/>
      </w:pPr>
      <w:r>
        <w:rPr>
          <w:u w:val="single"/>
        </w:rPr>
        <w:t xml:space="preserve">Section 14.</w:t>
      </w:r>
      <w:r>
        <w:t>[</w:t>
      </w:r>
      <w:r>
        <w:rPr>
          <w:strike w:val="true"/>
        </w:rPr>
        <w:t xml:space="preserve">Section 13.</w:t>
      </w:r>
      <w:r>
        <w:t>]</w:t>
      </w:r>
      <w:r>
        <w:t xml:space="preserve"> </w:t>
      </w:r>
      <w:r>
        <w:t xml:space="preserve">Appeal Rights. A price-based NF may appeal a department decision as to the application of this administrative regulation in accordance with 907 KAR 1:671.</w:t>
      </w:r>
    </w:p>
    <w:p>
      <w:pPr>
        <w:pStyle w:val="kar_section"/>
      </w:pPr>
      <w:r>
        <w:rPr>
          <w:u w:val="single"/>
        </w:rPr>
        <w:t xml:space="preserve">Section 15.</w:t>
      </w:r>
      <w:r>
        <w:t>[</w:t>
      </w:r>
      <w:r>
        <w:rPr>
          <w:strike w:val="true"/>
        </w:rPr>
        <w:t xml:space="preserve">Section 14.</w:t>
      </w:r>
      <w:r>
        <w:t>]</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rPr>
          <w:u w:val="single"/>
        </w:rPr>
        <w:t xml:space="preserve">Section 16.</w:t>
      </w:r>
      <w:r>
        <w:t>[</w:t>
      </w:r>
      <w:r>
        <w:rPr>
          <w:strike w:val="true"/>
        </w:rPr>
        <w:t xml:space="preserve">Section 15.</w:t>
      </w:r>
      <w:r>
        <w:t>]</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rPr>
          <w:u w:val="single"/>
        </w:rPr>
        <w:t xml:space="preserve">Section 17.</w:t>
      </w:r>
      <w:r>
        <w:t>[</w:t>
      </w:r>
      <w:r>
        <w:rPr>
          <w:strike w:val="true"/>
        </w:rPr>
        <w:t xml:space="preserve">Section 16.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w:t>
      </w:r>
      <w:r>
        <w:t>[</w:t>
      </w:r>
      <w:r>
        <w:rPr>
          <w:strike w:val="true"/>
        </w:rPr>
        <w:t xml:space="preserve"> and</w:t>
      </w:r>
      <w:r>
        <w:t>]</w:t>
      </w:r>
    </w:p>
    <w:p>
      <w:pPr>
        <w:pStyle w:val="kar_paragraph"/>
      </w:pPr>
      <w:r>
        <w:rPr>
          <w:u w:val="single"/>
        </w:rPr>
        <w:t xml:space="preserve">(d)</w:t>
      </w:r>
      <w:r>
        <w:t xml:space="preserve"> </w:t>
      </w:r>
      <w:r>
        <w:rPr>
          <w:u w:val="single"/>
        </w:rPr>
        <w:t xml:space="preserve">The "Kentucky Medicaid Nursing Facility Ancillary Supplemental Schedules," July 2024;</w:t>
      </w:r>
    </w:p>
    <w:p>
      <w:pPr>
        <w:pStyle w:val="kar_paragraph"/>
      </w:pPr>
      <w:r>
        <w:rPr>
          <w:u w:val="single"/>
        </w:rPr>
        <w:t xml:space="preserve">(e)</w:t>
      </w:r>
      <w:r>
        <w:t xml:space="preserve"> </w:t>
      </w:r>
      <w:r>
        <w:rPr>
          <w:u w:val="single"/>
        </w:rPr>
        <w:t xml:space="preserve">The "Kentucky Medicaid Nursing Facility Ancillary Supplemental Schedules Instructions," July 2024;</w:t>
      </w:r>
    </w:p>
    <w:p>
      <w:pPr>
        <w:pStyle w:val="kar_paragraph"/>
      </w:pPr>
      <w:r>
        <w:rPr>
          <w:u w:val="single"/>
        </w:rPr>
        <w:t xml:space="preserve">(f)</w:t>
      </w:r>
      <w:r>
        <w:t xml:space="preserve"> </w:t>
      </w:r>
      <w:r>
        <w:rPr>
          <w:u w:val="single"/>
        </w:rPr>
        <w:t xml:space="preserve">The "Kentucky Medicaid Nursing Facility Quality Program Behavioral Health Metric Attestation Statement", February 2025; and</w:t>
      </w:r>
    </w:p>
    <w:p>
      <w:pPr>
        <w:pStyle w:val="kar_paragraph"/>
      </w:pPr>
      <w:r>
        <w:rPr>
          <w:u w:val="single"/>
        </w:rPr>
        <w:t xml:space="preserve">(g)</w:t>
      </w:r>
      <w:r>
        <w:t>[</w:t>
      </w:r>
      <w:r>
        <w:rPr>
          <w:strike w:val="true"/>
        </w:rPr>
        <w:t xml:space="preserve">(d)</w:t>
      </w:r>
      <w:r>
        <w:t>]</w:t>
      </w:r>
      <w:r>
        <w:t xml:space="preserve"> </w:t>
      </w:r>
      <w:r>
        <w:t xml:space="preserve">"PDPM Adapted Minimum Data Set (MDS)", October 1, </w:t>
      </w:r>
      <w:r>
        <w:rPr>
          <w:u w:val="single"/>
        </w:rPr>
        <w:t xml:space="preserve">2024</w:t>
      </w:r>
      <w:r>
        <w:t>[</w:t>
      </w:r>
      <w:r>
        <w:rPr>
          <w:strike w:val="true"/>
        </w:rPr>
        <w:t xml:space="preserve">2023</w:t>
      </w:r>
      <w:r>
        <w:t>]</w:t>
      </w:r>
      <w:r>
        <w:t xml:space="preserve">.</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t>
      </w:r>
      <w:r>
        <w:rPr>
          <w:u w:val="single"/>
        </w:rPr>
        <w:t xml:space="preserve">website</w:t>
      </w:r>
      <w:r>
        <w:t>[</w:t>
      </w:r>
      <w:r>
        <w:rPr>
          <w:strike w:val="true"/>
        </w:rPr>
        <w:t xml:space="preserve">Web site</w:t>
      </w:r>
      <w:r>
        <w:t>]</w:t>
      </w:r>
      <w:r>
        <w:t xml:space="preserve">: https://chfs.ky.gov/agencies/dms/dafm/Pages/default.aspx.</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August 1, 2025</w:t>
      </w:r>
    </w:p>
    <w:p>
      <w:pPr>
        <w:pStyle w:val="kar_filed"/>
      </w:pPr>
      <w:r>
        <w:t xml:space="preserve">FILED WITH LRC: September 9, 2025 at 10:09 a.m.</w:t>
      </w:r>
    </w:p>
    <w:p>
      <w:pPr>
        <w:pStyle w:val="kar_normal"/>
      </w:pPr>
      <w:r>
        <w:t xml:space="preserve"/>
      </w:r>
    </w:p>
    <w:p>
      <w:pPr>
        <w:pStyle w:val="kar_comment_period"/>
      </w:pPr>
      <w:r>
        <w:t xml:space="preserve">PUBLIC HEARING AND PUBLIC COMMENT PERIOD: A public hearing on this administrative regulation shall, if requested, be held on November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November 30,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and Jonathan Scott </w:t>
      </w:r>
    </w:p>
    <w:p>
      <w:pPr>
        <w:pStyle w:val="kar_normal"/>
        <w:ind w:left="0"/>
      </w:pPr>
      <w:r>
        <w:t xml:space="preserve">Subject Headings:</w:t>
      </w:r>
      <w:r>
        <w:t xml:space="preserve"> Medicaid, Nursing Facilities, Public Assistance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reimbursement for nursing facilities participating in Kentucky Department for Medicaid Services for all non-managed care recipients.</w:t>
      </w:r>
    </w:p>
    <w:p>
      <w:pPr>
        <w:pStyle w:val="kar_normal"/>
        <w:ind w:left="576"/>
      </w:pPr>
      <w:r>
        <w:t xml:space="preserve">(b) The necessity of this administrative regulation:</w:t>
      </w:r>
    </w:p>
    <w:p>
      <w:pPr>
        <w:pStyle w:val="kar_normal"/>
        <w:ind w:left="720"/>
      </w:pPr>
      <w:r>
        <w:t xml:space="preserve">This administrative regulation is necessary to establish price-based nursing facility reimbursement provisions.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price-based nursing facility reimbursement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updated reimbursement rates for nursing facilities providing care to Kentucky Medicaid recipients.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reimbursement methodology for the PDPM case mix. In addition, a nursing home quality payment system will be implemented over multiple years, starting at 5% and ending at 20%. In addition, new materials incorporated by reference are included.</w:t>
      </w:r>
    </w:p>
    <w:p>
      <w:pPr>
        <w:pStyle w:val="kar_normal"/>
        <w:ind w:left="576"/>
      </w:pPr>
      <w:r>
        <w:t xml:space="preserve">(b) The necessity of the amendment to this administrative regulation:</w:t>
      </w:r>
    </w:p>
    <w:p>
      <w:pPr>
        <w:pStyle w:val="kar_normal"/>
        <w:ind w:left="720"/>
      </w:pPr>
      <w:r>
        <w:t xml:space="preserve">This amendment is necessary to produce a quality payment system that is present in an approved state plan document.</w:t>
      </w:r>
    </w:p>
    <w:p>
      <w:pPr>
        <w:pStyle w:val="kar_normal"/>
        <w:ind w:left="576"/>
      </w:pPr>
      <w:r>
        <w:t xml:space="preserve">(c) How the amendment conforms to the content of the authorizing statutes:</w:t>
      </w:r>
    </w:p>
    <w:p>
      <w:pPr>
        <w:pStyle w:val="kar_normal"/>
        <w:ind w:left="720"/>
      </w:pPr>
      <w:r>
        <w:t xml:space="preserve">The amendment is necessary to comply with a received federal approval.</w:t>
      </w:r>
    </w:p>
    <w:p>
      <w:pPr>
        <w:pStyle w:val="kar_normal"/>
        <w:ind w:left="576"/>
      </w:pPr>
      <w:r>
        <w:t xml:space="preserve">(d) How the amendment will assist in the effective administration of the statutes:</w:t>
      </w:r>
    </w:p>
    <w:p>
      <w:pPr>
        <w:pStyle w:val="kar_normal"/>
        <w:ind w:left="720"/>
      </w:pPr>
      <w:r>
        <w:t xml:space="preserve">The amendment updated the Medicaid nursing home program to coincide with a received federal approval relating to quality payments.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257 nursing facilities participating with Medicaid that may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Entities will have to comply with quality initiatives that are included as part of this program in order to receive quality payments.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DMS does not anticipate additional costs in complying with quality initiatives.</w:t>
      </w:r>
    </w:p>
    <w:p>
      <w:pPr>
        <w:pStyle w:val="kar_normal"/>
        <w:ind w:left="576"/>
      </w:pPr>
      <w:r>
        <w:t xml:space="preserve">(c) As a result of compliance, what benefits will accrue to the entities identified in question (4):</w:t>
      </w:r>
    </w:p>
    <w:p>
      <w:pPr>
        <w:pStyle w:val="kar_normal"/>
        <w:ind w:left="720"/>
      </w:pPr>
      <w:r>
        <w:t xml:space="preserve">Facilities will become eligible for additional reimbursement via the quality payments.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that expenditures for nursing facilities will be consistent with appropriations in the current executive branch state budget.</w:t>
      </w:r>
    </w:p>
    <w:p>
      <w:pPr>
        <w:pStyle w:val="kar_normal"/>
        <w:ind w:left="576"/>
      </w:pPr>
      <w:r>
        <w:t xml:space="preserve">(b) On a continuing basis:</w:t>
      </w:r>
    </w:p>
    <w:p>
      <w:pPr>
        <w:pStyle w:val="kar_normal"/>
        <w:ind w:left="720"/>
      </w:pPr>
      <w:r>
        <w:t xml:space="preserve">DMS anticipates that expenditures for nursing facilities will be consistent with appropriations in the current executive branch state budget.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an increase in funding in order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(10) TIERING: Is tiering applied?</w:t>
      </w:r>
    </w:p>
    <w:p>
      <w:pPr>
        <w:pStyle w:val="kar_normal"/>
        <w:ind w:left="432"/>
      </w:pPr>
      <w:r>
        <w:t xml:space="preserve">Tiering was not applied in this administrative regulation because the administration regulation applies equally to all those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w:t>
      </w:r>
    </w:p>
    <w:p>
      <w:pPr>
        <w:pStyle w:val="kar_normal"/>
        <w:ind w:left="288"/>
      </w:pPr>
      <w:r>
        <w:t xml:space="preserve">(2) Identify the promulgating agency and any other affected state units, parts, or divisions:</w:t>
      </w:r>
    </w:p>
    <w:p>
      <w:pPr>
        <w:pStyle w:val="kar_normal"/>
        <w:ind w:left="432"/>
      </w:pPr>
      <w:r>
        <w:t xml:space="preserve">The Department for Medicaid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Department for Medicaid Services (DMS) anticipates no additional expenditures as a result of the amendment.</w:t>
      </w:r>
    </w:p>
    <w:p>
      <w:pPr>
        <w:pStyle w:val="kar_normal"/>
        <w:ind w:left="864"/>
      </w:pPr>
      <w:r>
        <w:t xml:space="preserve">Revenues:</w:t>
      </w:r>
      <w:r>
        <w:t xml:space="preserve"> The Department for Medicaid Services (DMS) anticipates no additional revenues as a result of the amendment.</w:t>
      </w:r>
    </w:p>
    <w:p>
      <w:pPr>
        <w:pStyle w:val="kar_normal"/>
        <w:ind w:left="864"/>
      </w:pPr>
      <w:r>
        <w:t xml:space="preserve">Cost Savings:</w:t>
      </w:r>
      <w:r>
        <w:t xml:space="preserve"> The Department for Medicaid Services (DMS) anticipates no additional cost savings as a result of the amendment.</w:t>
      </w:r>
    </w:p>
    <w:p>
      <w:pPr>
        <w:pStyle w:val="kar_normal"/>
        <w:ind w:left="576"/>
      </w:pPr>
      <w:r>
        <w:t xml:space="preserve">(b) How will expenditures, revenues, or cost savings differ in subsequent years?</w:t>
      </w:r>
    </w:p>
    <w:p>
      <w:pPr>
        <w:pStyle w:val="kar_normal"/>
        <w:ind w:left="720"/>
      </w:pPr>
      <w:r>
        <w:t xml:space="preserve">DMS does not anticipate expenditures, revenues, or cost savings as a result of the amendment in subsequent years.</w:t>
      </w:r>
    </w:p>
    <w:p>
      <w:pPr>
        <w:pStyle w:val="kar_normal"/>
        <w:ind w:left="288"/>
      </w:pPr>
      <w:r>
        <w:t xml:space="preserve">(3) Identify affected local entities (for example: cities, counties, fire departments, school districts):</w:t>
      </w:r>
    </w:p>
    <w:p>
      <w:pPr>
        <w:pStyle w:val="kar_normal"/>
        <w:ind w:left="432"/>
      </w:pPr>
      <w:r>
        <w:t xml:space="preserve">DMS does not anticipate an impact on local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Nursing facilities</w:t>
      </w:r>
    </w:p>
    <w:p>
      <w:pPr>
        <w:pStyle w:val="kar_normal"/>
        <w:ind w:left="576"/>
      </w:pPr>
      <w:r>
        <w:t xml:space="preserve">(a) Estimate the following for the first year:</w:t>
      </w:r>
    </w:p>
    <w:p>
      <w:pPr>
        <w:pStyle w:val="kar_normal"/>
        <w:ind w:left="864"/>
      </w:pPr>
      <w:r>
        <w:t xml:space="preserve">Expenditures:</w:t>
      </w:r>
      <w:r>
        <w:t xml:space="preserve"> DMS does not anticipate that facilities will experience increased expenditures as a result of the quality measures.</w:t>
      </w:r>
    </w:p>
    <w:p>
      <w:pPr>
        <w:pStyle w:val="kar_normal"/>
        <w:ind w:left="864"/>
      </w:pPr>
      <w:r>
        <w:t xml:space="preserve">Revenues:</w:t>
      </w:r>
      <w:r>
        <w:t xml:space="preserve"> DMS does not anticipate that facilities will experience increased revenues as a result of the quality measures.</w:t>
      </w:r>
    </w:p>
    <w:p>
      <w:pPr>
        <w:pStyle w:val="kar_normal"/>
        <w:ind w:left="864"/>
      </w:pPr>
      <w:r>
        <w:t xml:space="preserve">Cost Savings:</w:t>
      </w:r>
      <w:r>
        <w:t xml:space="preserve"> DMS does not anticipate that facilities will experience increased cost savings as a result of the quality measures.</w:t>
      </w:r>
    </w:p>
    <w:p>
      <w:pPr>
        <w:pStyle w:val="kar_normal"/>
        <w:ind w:left="576"/>
      </w:pPr>
      <w:r>
        <w:t xml:space="preserve">(b) How will expenditures, revenues, or cost savings differ in subsequent years?</w:t>
      </w:r>
    </w:p>
    <w:p>
      <w:pPr>
        <w:pStyle w:val="kar_normal"/>
        <w:ind w:left="720"/>
      </w:pPr>
      <w:r>
        <w:t xml:space="preserve">DMS does not anticipate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is implementing a required nursing home quality payment program. Nursing facilities will have the opportunity to prove that they qualify for various higher percentage payment based on meeting quality metrics, improved outcomes, and additional payments will result in no cost savings or fiscal impact changes.</w:t>
      </w:r>
    </w:p>
    <w:p>
      <w:pPr>
        <w:pStyle w:val="kar_normal"/>
        <w:ind w:left="576"/>
      </w:pPr>
      <w:r>
        <w:t xml:space="preserve">(b) Methodology and resources used to determine the fiscal impact:</w:t>
      </w:r>
    </w:p>
    <w:p>
      <w:pPr>
        <w:pStyle w:val="kar_normal"/>
        <w:ind w:left="720"/>
      </w:pPr>
      <w:r>
        <w:t xml:space="preserve">Staff and external contractor review of the approved program and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negative or adverse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Staff and external contractor review of the approved program and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1396r(f)(6) and 42 C.F.R. 483.20.</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w:t>
      </w:r>
    </w:p>
    <w:p>
      <w:pPr>
        <w:pStyle w:val="kar_normal"/>
        <w:ind w:left="288"/>
      </w:pPr>
      <w:r>
        <w:t xml:space="preserve">(3) Minimum or uniform standards contained in the federal mandate.</w:t>
      </w:r>
    </w:p>
    <w:p>
      <w:pPr>
        <w:pStyle w:val="kar_normal"/>
        <w:ind w:left="432"/>
      </w:pPr>
      <w:r>
        <w:t xml:space="preserve">42 C.F.R. 483.20 requires a nursing facility to conduct a resident assessment of each resident.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set stricter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Neither stricter nor additional standards nor responsibilities are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9dd0d0b784884" /><Relationship Type="http://schemas.openxmlformats.org/officeDocument/2006/relationships/settings" Target="/word/settings.xml" Id="Ra941bfd1432e4b29" /></Relationships>
</file>