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c3b8c88fde4ae0"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bear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must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4a3a43bc251948a2"/>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f92955ad96a14b23"/>
          </v:shape>
        </w:pict>
      </w:r>
    </w:p>
    <w:p>
      <w:pPr>
        <w:pStyle w:val="kar_paragraph"/>
      </w:pPr>
      <w:r>
        <w:t xml:space="preserve">(b)</w:t>
      </w:r>
      <w:r>
        <w:t xml:space="preserve"> </w:t>
      </w:r>
      <w:r>
        <w:t xml:space="preserve">In accordance with a testing procedure established by AAFCO.</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t>
      </w:r>
      <w:r>
        <w:rPr>
          <w:u w:val="single"/>
        </w:rPr>
        <w:t xml:space="preserve">2023</w:t>
      </w:r>
      <w:r>
        <w:t>[</w:t>
      </w:r>
      <w:r>
        <w:rPr>
          <w:strike w:val="true"/>
        </w:rPr>
        <w:t xml:space="preserve">2018</w:t>
      </w:r>
      <w:r>
        <w:t>]</w:t>
      </w:r>
      <w:r>
        <w:t xml:space="preserve"> 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procedure for determining the caloric content of dog and cat foods and expressing it on product labels.</w:t>
      </w:r>
    </w:p>
    <w:p>
      <w:pPr>
        <w:pStyle w:val="kar_normal"/>
        <w:ind w:left="576"/>
      </w:pPr>
      <w:r>
        <w:t xml:space="preserve">(b) The necessity of this administrative regulation:</w:t>
      </w:r>
    </w:p>
    <w:p>
      <w:pPr>
        <w:pStyle w:val="kar_normal"/>
        <w:ind w:left="720"/>
      </w:pPr>
      <w:r>
        <w:t xml:space="preserve">Provide needed information to consumers.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direction in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905139dd84dff" /><Relationship Type="http://schemas.openxmlformats.org/officeDocument/2006/relationships/image" Target="/media/image.png" Id="R4a3a43bc251948a2" /><Relationship Type="http://schemas.openxmlformats.org/officeDocument/2006/relationships/image" Target="/media/image2.png" Id="Rf92955ad96a14b23" /><Relationship Type="http://schemas.openxmlformats.org/officeDocument/2006/relationships/settings" Target="/word/settings.xml" Id="R20884d61845b4ffa" /></Relationships>
</file>