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1f99ef39bd46b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Occupational Therapy</w:t>
      </w:r>
    </w:p>
    <w:p>
      <w:pPr>
        <w:pStyle w:val="kar_markup_header"/>
        <w:ind w:firstLine="0"/>
      </w:pPr>
      <w:r>
        <w:t>(Amended at ARRS Committee)</w:t>
      </w:r>
    </w:p>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w:t>
      </w:r>
      <w:r>
        <w:rPr>
          <w:b/>
          <w:i/>
          <w:u w:val="single"/>
        </w:rPr>
        <w:t xml:space="preserve">April 16, 2025</w:t>
      </w:r>
      <w:r>
        <w:t>[</w:t>
      </w:r>
      <w:r>
        <w:rPr>
          <w:b/>
          <w:i/>
          <w:strike w:val="true"/>
        </w:rPr>
        <w:t xml:space="preserve">March 20, 2024</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w:t>
      </w:r>
      <w:r>
        <w:rPr>
          <w:b/>
          <w:i/>
          <w:u w:val="single"/>
        </w:rPr>
        <w:t xml:space="preserve">April 16, 2025</w:t>
      </w:r>
      <w:r>
        <w:t>[</w:t>
      </w:r>
      <w:r>
        <w:rPr>
          <w:b/>
          <w:i/>
          <w:strike w:val="true"/>
        </w:rPr>
        <w:t xml:space="preserve">March 20, 2024</w:t>
      </w:r>
      <w:r>
        <w:t>]</w:t>
      </w:r>
      <w:r>
        <w:t xml:space="preserve">, and as revised.</w:t>
      </w:r>
    </w:p>
    <w:p>
      <w:pPr>
        <w:pStyle w:val="kar_paragraph"/>
      </w:pPr>
      <w:r>
        <w:t xml:space="preserve">(a)</w:t>
      </w:r>
      <w:r>
        <w:t xml:space="preserve"> </w:t>
      </w:r>
      <w:r>
        <w:t>[</w:t>
      </w:r>
      <w:r>
        <w:rPr>
          <w:strike w:val="true"/>
        </w:rPr>
        <w:t xml:space="preserve">Chapter 1. </w:t>
      </w:r>
      <w:r>
        <w:t>]</w:t>
      </w:r>
      <w:r>
        <w:t>[</w:t>
      </w:r>
      <w:r>
        <w:rPr>
          <w:b/>
          <w:i/>
          <w:strike w:val="true"/>
        </w:rPr>
        <w:t xml:space="preserve">Rule on </w:t>
      </w:r>
      <w:r>
        <w:t>]</w:t>
      </w:r>
      <w:r>
        <w:t xml:space="preserve">Definitions, adopted March 20, 2024;</w:t>
      </w:r>
      <w:r>
        <w:t>[</w:t>
      </w:r>
      <w:r>
        <w:rPr>
          <w:b/>
          <w:i/>
          <w:strike w:val="true"/>
        </w:rPr>
        <w:t xml:space="preserve"> and</w:t>
      </w:r>
      <w:r>
        <w:t>]</w:t>
      </w:r>
    </w:p>
    <w:p>
      <w:pPr>
        <w:pStyle w:val="kar_paragraph"/>
      </w:pPr>
      <w:r>
        <w:t xml:space="preserve">(b)</w:t>
      </w:r>
      <w:r>
        <w:t xml:space="preserve"> </w:t>
      </w:r>
      <w:r>
        <w:t>[</w:t>
      </w:r>
      <w:r>
        <w:rPr>
          <w:b/>
          <w:i/>
          <w:strike w:val="true"/>
          <w:u w:val="single"/>
        </w:rPr>
        <w:t xml:space="preserve">Rule on</w:t>
      </w:r>
      <w:r>
        <w:t>]</w:t>
      </w:r>
      <w:r>
        <w:t>[</w:t>
      </w:r>
      <w:r>
        <w:rPr>
          <w:strike w:val="true"/>
        </w:rPr>
        <w:t xml:space="preserve">Chapter 2.</w:t>
      </w:r>
      <w:r>
        <w:t>]</w:t>
      </w:r>
      <w:r>
        <w:t xml:space="preserve"> Data System Reporting Requirements, adopted March 20, 2024</w:t>
      </w:r>
      <w:r>
        <w:rPr>
          <w:b/>
          <w:i/>
          <w:u w:val="single"/>
        </w:rPr>
        <w:t xml:space="preserve">;</w:t>
      </w:r>
      <w:r>
        <w:t>[</w:t>
      </w:r>
      <w:r>
        <w:rPr>
          <w:b/>
          <w:i/>
          <w:strike w:val="true"/>
        </w:rPr>
        <w:t xml:space="preserve">.</w:t>
      </w:r>
      <w:r>
        <w:t>]</w:t>
      </w:r>
    </w:p>
    <w:p>
      <w:pPr>
        <w:pStyle w:val="kar_paragraph"/>
      </w:pPr>
      <w:r>
        <w:rPr>
          <w:u w:val="single"/>
        </w:rPr>
        <w:t xml:space="preserve">(c)</w:t>
      </w:r>
      <w:r>
        <w:t xml:space="preserve"> </w:t>
      </w:r>
      <w:r>
        <w:rPr>
          <w:b/>
          <w:i/>
          <w:u w:val="single"/>
        </w:rPr>
        <w:t xml:space="preserve">Implementation of Federal Bureau of Investigations</w:t>
      </w:r>
      <w:r>
        <w:t>[</w:t>
      </w:r>
      <w:r>
        <w:rPr>
          <w:b/>
          <w:i/>
          <w:strike w:val="true"/>
          <w:u w:val="single"/>
        </w:rPr>
        <w:t xml:space="preserve">Rule on FBI</w:t>
      </w:r>
      <w:r>
        <w:t>]</w:t>
      </w:r>
      <w:r>
        <w:rPr>
          <w:u w:val="single"/>
        </w:rPr>
        <w:t xml:space="preserve"> Criminal Background </w:t>
      </w:r>
      <w:r>
        <w:rPr>
          <w:b/>
          <w:i/>
          <w:u w:val="single"/>
        </w:rPr>
        <w:t xml:space="preserve">Check (FBI CBC) Requirement</w:t>
      </w:r>
      <w:r>
        <w:t>[</w:t>
      </w:r>
      <w:r>
        <w:rPr>
          <w:b/>
          <w:i/>
          <w:strike w:val="true"/>
          <w:u w:val="single"/>
        </w:rPr>
        <w:t xml:space="preserve">Checks</w:t>
      </w:r>
      <w:r>
        <w:t>]</w:t>
      </w:r>
      <w:r>
        <w:rPr>
          <w:u w:val="single"/>
        </w:rPr>
        <w:t xml:space="preserve">, adopted April 16, 2025</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t>[</w:t>
      </w:r>
      <w:r>
        <w:rPr>
          <w:b/>
          <w:i/>
          <w:strike w:val="true"/>
          <w:u w:val="single"/>
        </w:rPr>
        <w:t xml:space="preserve">Rule on </w:t>
      </w:r>
      <w:r>
        <w:t>]</w:t>
      </w:r>
      <w:r>
        <w:rPr>
          <w:u w:val="single"/>
        </w:rPr>
        <w:t xml:space="preserve">Member State Implementation, adopted April 16, 2025</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b/>
          <w:i/>
          <w:u w:val="single"/>
        </w:rPr>
        <w:t xml:space="preserve">Occupational Therapy Compact</w:t>
      </w:r>
      <w:r>
        <w:t>[</w:t>
      </w:r>
      <w:r>
        <w:rPr>
          <w:b/>
          <w:i/>
          <w:strike w:val="true"/>
          <w:u w:val="single"/>
        </w:rPr>
        <w:t xml:space="preserve">Rule on OTC</w:t>
      </w:r>
      <w:r>
        <w:t>]</w:t>
      </w:r>
      <w:r>
        <w:rPr>
          <w:u w:val="single"/>
        </w:rPr>
        <w:t xml:space="preserve"> Fees</w:t>
      </w:r>
      <w:r>
        <w:rPr>
          <w:b/>
          <w:i/>
          <w:u w:val="single"/>
        </w:rPr>
        <w:t xml:space="preserve"> (</w:t>
      </w:r>
      <w:r>
        <w:t>[</w:t>
      </w:r>
      <w:r>
        <w:rPr>
          <w:b/>
          <w:i/>
          <w:strike w:val="true"/>
          <w:u w:val="single"/>
        </w:rPr>
        <w:t xml:space="preserve">: </w:t>
      </w:r>
      <w:r>
        <w:t>]</w:t>
      </w:r>
      <w:r>
        <w:rPr>
          <w:u w:val="single"/>
        </w:rPr>
        <w:t xml:space="preserve">Administrative </w:t>
      </w:r>
      <w:r>
        <w:rPr>
          <w:b/>
          <w:i/>
          <w:u w:val="single"/>
        </w:rPr>
        <w:t xml:space="preserve">and</w:t>
      </w:r>
      <w:r>
        <w:t>[</w:t>
      </w:r>
      <w:r>
        <w:rPr>
          <w:b/>
          <w:i/>
          <w:strike w:val="true"/>
          <w:u w:val="single"/>
        </w:rPr>
        <w:t xml:space="preserve">&amp;</w:t>
      </w:r>
      <w:r>
        <w:t>]</w:t>
      </w:r>
      <w:r>
        <w:rPr>
          <w:u w:val="single"/>
        </w:rPr>
        <w:t xml:space="preserve"> State</w:t>
      </w:r>
      <w:r>
        <w:rPr>
          <w:b/>
          <w:i/>
          <w:u w:val="single"/>
        </w:rPr>
        <w:t xml:space="preserve">),</w:t>
      </w:r>
      <w:r>
        <w:rPr>
          <w:u w:val="single"/>
        </w:rPr>
        <w:t xml:space="preserve"> adopted April 16, 2025</w:t>
      </w:r>
      <w:r>
        <w:rPr>
          <w:b/>
          <w:i/>
          <w:u w:val="single"/>
        </w:rPr>
        <w:t xml:space="preserve">; and</w:t>
      </w:r>
      <w:r>
        <w:t>[</w:t>
      </w:r>
      <w:r>
        <w:rPr>
          <w:b/>
          <w:i/>
          <w:strike w:val="true"/>
          <w:u w:val="single"/>
        </w:rPr>
        <w:t xml:space="preserve">.</w:t>
      </w:r>
      <w:r>
        <w:t>]</w:t>
      </w:r>
    </w:p>
    <w:p>
      <w:pPr>
        <w:pStyle w:val="kar_paragraph"/>
      </w:pPr>
      <w:r>
        <w:rPr>
          <w:u w:val="single"/>
        </w:rPr>
        <w:t xml:space="preserve">(f)</w:t>
      </w:r>
      <w:r>
        <w:t xml:space="preserve"> </w:t>
      </w:r>
      <w:r>
        <w:t>[</w:t>
      </w:r>
      <w:r>
        <w:rPr>
          <w:b/>
          <w:i/>
          <w:strike w:val="true"/>
          <w:u w:val="single"/>
        </w:rPr>
        <w:t xml:space="preserve">Rule on </w:t>
      </w:r>
      <w:r>
        <w:t>]</w:t>
      </w:r>
      <w:r>
        <w:rPr>
          <w:b/>
          <w:i/>
          <w:u w:val="single"/>
        </w:rPr>
        <w:t xml:space="preserve">Occupational Therapy </w:t>
      </w:r>
      <w:r>
        <w:rPr>
          <w:u w:val="single"/>
        </w:rPr>
        <w:t xml:space="preserve">National Exam</w:t>
      </w:r>
      <w:r>
        <w:t>[</w:t>
      </w:r>
      <w:r>
        <w:rPr>
          <w:b/>
          <w:i/>
          <w:strike w:val="true"/>
          <w:u w:val="single"/>
        </w:rPr>
        <w:t xml:space="preserve"> Definition</w:t>
      </w:r>
      <w:r>
        <w:t>]</w:t>
      </w:r>
      <w:r>
        <w:rPr>
          <w:u w:val="single"/>
        </w:rPr>
        <w:t xml:space="preserve">,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w:t>
      </w:r>
      <w:r>
        <w:rPr>
          <w:u w:val="single"/>
        </w:rPr>
        <w:t xml:space="preserve">.</w:t>
      </w:r>
      <w:r>
        <w:t xml:space="preserve">m</w:t>
      </w:r>
      <w:r>
        <w:rPr>
          <w:u w:val="single"/>
        </w:rPr>
        <w:t xml:space="preserve">.</w:t>
      </w:r>
      <w:r>
        <w:t xml:space="preserve"> to 4:30 p.m.; or</w:t>
      </w:r>
    </w:p>
    <w:p>
      <w:pPr>
        <w:pStyle w:val="kar_paragraph"/>
      </w:pPr>
      <w:r>
        <w:t xml:space="preserve">(b)</w:t>
      </w:r>
      <w:r>
        <w:t xml:space="preserve"> </w:t>
      </w:r>
      <w:r>
        <w:t xml:space="preserve">This material may also be obtained on the Board of Licensure for Occupational Therapy Web 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rPr>
          <w:b/>
          <w:i/>
          <w:u w:val="single"/>
        </w:rPr>
        <w:t xml:space="preserve">https://otcompact.gov/ot-compact-commission/governance-documents/</w:t>
      </w:r>
      <w:r>
        <w:t>[</w:t>
      </w:r>
      <w:r>
        <w:rPr>
          <w:b/>
          <w:i/>
          <w:strike w:val="true"/>
        </w:rPr>
        <w:t xml:space="preserve">https://otcompact.org/ot-compact-commission/governance-documents/</w:t>
      </w:r>
      <w:r>
        <w:t>]</w:t>
      </w:r>
      <w:r>
        <w:t xml:space="preserve">.</w:t>
      </w:r>
    </w:p>
    <w:p>
      <w:pPr>
        <w:pStyle w:val="kar_normal"/>
      </w:pPr>
      <w:r>
        <w:t xml:space="preserve"/>
      </w:r>
    </w:p>
    <w:p>
      <w:pPr>
        <w:pStyle w:val="kar_filed"/>
      </w:pPr>
      <w:r>
        <w:t xml:space="preserve">FILED WITH LRC: September 9, 2025 at 1 p.m.</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Lilly Jean Coiner, Executive Advisor, Department of Professional Licensing, Office of Legal Services, 500 Mero Street, 2 NC WK#4, phone (502) 262-5065 (office), fax (502) 564-4818, email Lilly.Coiner@ky.gov. Link to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3ed88749654d50" /><Relationship Type="http://schemas.openxmlformats.org/officeDocument/2006/relationships/settings" Target="/word/settings.xml" Id="R2b0627bb3a374b8d" /></Relationships>
</file>