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04ca74fefe4c2c" /></Relationships>
</file>

<file path=word/document.xml><?xml version="1.0" encoding="utf-8"?>
<w:document xmlns:w="http://schemas.openxmlformats.org/wordprocessingml/2006/main">
  <w:body>
    <w:p>
      <w:pPr>
        <w:pStyle w:val="kar_citation"/>
      </w:pPr>
      <w:r>
        <w:t>704 KAR 8:030.</w:t>
      </w:r>
      <w:r>
        <w:t xml:space="preserve"> </w:t>
      </w:r>
      <w:r>
        <w:t xml:space="preserve">Required Academic Standards for Health Education.</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156.070(1), 156.160(1), 158.6453(18)</w:t>
      </w:r>
    </w:p>
    <w:p>
      <w:pPr>
        <w:pStyle w:val="kar_markup_metadata"/>
      </w:pPr>
      <w:r>
        <w:t xml:space="preserve">NECESSITY, FUNCTION, AND CONFORMITY: </w:t>
      </w:r>
      <w:r>
        <w:t xml:space="preserve">KRS 156.160(1)(a)  requires the Kentucky Board of Education to establish courses of study for the different grades and kinds of common schools, with the courses of study to comply with the expected goals, outcomes, and assessment strategies developed under KRS 158.645, 158.6451, and 158.6453. KRS 156.160(1)(h) requires the Kentucky Board of Education to adopt administrative regulations governing medical inspection, physical and health education and recreation, and other regulations necessary or advisable for the protection of the physical welfare and safety of the public school children including requirements for student health standards to be met by all students in grades 4, 8, and 12 pursuant to the outcomes described in KRS 158.6451.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158.6453(18)(a) requires the Kentucky Department of Education to implement a comprehensive process for reviewing and revising the academic standards in practical living skills for all levels. This administrative regulation incorporates by reference the Kentucky Academic Standards for Health Education, which contain the general courses of study and academic content standards of health education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Health Education.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Health Education", June 2025,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 This material may be viewed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008:030. 45 Ky.R. 1474, 1476, 2350; eff. 2-1-2019; 52 Ky.R. 106, 566; eff. 10-14-2025.)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c1fc138b084744" /><Relationship Type="http://schemas.openxmlformats.org/officeDocument/2006/relationships/settings" Target="/word/settings.xml" Id="R599b31aff0c348ff" /></Relationships>
</file>