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20e804cb4d43ea" /></Relationships>
</file>

<file path=word/document.xml><?xml version="1.0" encoding="utf-8"?>
<w:document xmlns:w="http://schemas.openxmlformats.org/wordprocessingml/2006/main">
  <w:body>
    <w:p>
      <w:pPr>
        <w:pStyle w:val="kar_citation"/>
      </w:pPr>
      <w:r>
        <w:t>704 KAR 8:020.</w:t>
      </w:r>
      <w:r>
        <w:t xml:space="preserve"> </w:t>
      </w:r>
      <w:r>
        <w:t xml:space="preserve">Required academic standards for reading and writing.</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156.070(1), 156.160(1), 158.6453</w:t>
      </w:r>
    </w:p>
    <w:p>
      <w:pPr>
        <w:pStyle w:val="kar_markup_metadata"/>
      </w:pPr>
      <w:r>
        <w:t xml:space="preserve">NECESSITY, FUNCTION, AND CONFORMITY: </w:t>
      </w:r>
      <w:r>
        <w:t xml:space="preserve">KRS 156.160(1)(a)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reviewing Kentucky's academic standards and the alignment of corresponding assessments for possible revision or replacement every six years. This administrative regulation incorporates by reference the Kentucky Academic Standards for Reading and Writing, which contain the general courses of study and academic content standards of reading and writing,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Reading and Writing.</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Reading and Writing", October 2025,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This material may also be accessed on the Kentucky Department of Education website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6388aaa6b340eb" /><Relationship Type="http://schemas.openxmlformats.org/officeDocument/2006/relationships/settings" Target="/word/settings.xml" Id="R69c56a9bb55f45c2" /></Relationships>
</file>