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3dda1c033f48f7" /></Relationships>
</file>

<file path=word/document.xml><?xml version="1.0" encoding="utf-8"?>
<w:document xmlns:w="http://schemas.openxmlformats.org/wordprocessingml/2006/main">
  <w:body>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Maintain patient records for five (5) years in a manner that shall provide adequate safeguard against improper manipulation or alteration of the records; 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 Application for Special Limited Pharmacy Permit - Clinical Practice or the Application for Special Limited Pharmacy Permit - Clinical Practice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May 2019; and</w:t>
      </w:r>
    </w:p>
    <w:p>
      <w:pPr>
        <w:pStyle w:val="kar_paragraph"/>
      </w:pPr>
      <w:r>
        <w:t xml:space="preserve">(b)</w:t>
      </w:r>
      <w:r>
        <w:t xml:space="preserve"> </w:t>
      </w:r>
      <w:r>
        <w:t xml:space="preserve">"Application for Special Limited Pharmacy Permit - Clinical Practice Renewal", May 2019.</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172; 458; eff. 9-19-2012; 45 Ky.R. 3462, 46 Ky.R. 414;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01bbbfa25b4d7a" /><Relationship Type="http://schemas.openxmlformats.org/officeDocument/2006/relationships/settings" Target="/word/settings.xml" Id="Rb313c8b39b9547c9" /></Relationships>
</file>