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f5c468dbd448b0" /></Relationships>
</file>

<file path=word/document.xml><?xml version="1.0" encoding="utf-8"?>
<w:document xmlns:w="http://schemas.openxmlformats.org/wordprocessingml/2006/main">
  <w:body>
    <w:p>
      <w:pPr>
        <w:pStyle w:val="kar_citation"/>
      </w:pPr>
      <w:r>
        <w:t>31 KAR 4:080.</w:t>
      </w:r>
      <w:r>
        <w:t xml:space="preserve"> </w:t>
      </w:r>
      <w:r>
        <w:t xml:space="preserve">Preclearance counties.</w:t>
      </w:r>
    </w:p>
    <w:p>
      <w:pPr>
        <w:pStyle w:val="kar_markup_metadata"/>
      </w:pPr>
      <w:r>
        <w:t xml:space="preserve">RELATES TO: </w:t>
      </w:r>
      <w:r>
        <w:t xml:space="preserve">KRS 117.020</w:t>
      </w:r>
    </w:p>
    <w:p>
      <w:pPr>
        <w:pStyle w:val="kar_markup_metadata"/>
      </w:pPr>
      <w:r>
        <w:t xml:space="preserve">STATUTORY AUTHORITY: </w:t>
      </w:r>
      <w:r>
        <w:t xml:space="preserve">KRS 117.015(1)(a)</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properly carry out its duties. This administrative regulation is necessary to ensure that if the State Board of Elections designates a county as a preclearance county, all decisions of the county board of elections are timely reported to and subject to the approval of the State Board of Elections.</w:t>
      </w:r>
    </w:p>
    <w:p>
      <w:pPr>
        <w:pStyle w:val="kar_section"/>
      </w:pPr>
      <w:r>
        <w:t xml:space="preserve">Section 1.</w:t>
      </w:r>
      <w:r>
        <w:t xml:space="preserve"> </w:t>
      </w:r>
      <w:r>
        <w:t xml:space="preserve">If a county is designated as a preclearance county pursuant to KRS 117.020, all decisions of the county board of elections shall be subject to approval by the State Board of Elections. All decisions of the county board of elections of a preclearance county shall be in writing and sent by certified mail to the State Board of Elections no later than three (3) days after the date of the decision.</w:t>
      </w:r>
    </w:p>
    <w:p>
      <w:pPr>
        <w:pStyle w:val="kar_section"/>
      </w:pPr>
      <w:r>
        <w:t xml:space="preserve">Section 2.</w:t>
      </w:r>
      <w:r>
        <w:t xml:space="preserve"> </w:t>
      </w:r>
      <w:r>
        <w:t xml:space="preserve">A decision by the county board of elections of a preclearance county shall not be final until it has been approved by the State Board of Elections and that approval is communicated in writing to the county board of elections.</w:t>
      </w:r>
    </w:p>
    <w:p>
      <w:pPr>
        <w:pStyle w:val="kar_section"/>
      </w:pPr>
      <w:r>
        <w:t xml:space="preserve">Section 3.</w:t>
      </w:r>
      <w:r>
        <w:t xml:space="preserve"> </w:t>
      </w:r>
      <w:r>
        <w:t xml:space="preserve">If a decision of the county board of elections of a preclearance county requires approval of the State Board of Elections before the next regularly scheduled meeting of the State Board of Elections, the Executive Director of the State Board of Elections may approve or disapprove the decision of the county board of elections.</w:t>
      </w:r>
    </w:p>
    <w:p>
      <w:pPr>
        <w:pStyle w:val="kar_section"/>
      </w:pPr>
      <w:r>
        <w:t xml:space="preserve">Section 4.</w:t>
      </w:r>
      <w:r>
        <w:t xml:space="preserve"> </w:t>
      </w:r>
      <w:r>
        <w:t xml:space="preserve">On primary, regular election, and special election days, the duties of the county board of elections given under KRS 117.035(4)(c) shall be overseen by an appointee of the State Board of Elections, who shall have the authority to approve decisions of the county board on behalf of the State Board of Elections.</w:t>
      </w:r>
    </w:p>
    <w:p>
      <w:pPr>
        <w:pStyle w:val="kar_history"/>
        <w:sectPr>
          <w:pgSz w:w="12240" w:h="15840" w:orient="portrait" w:code="1"/>
          <w:pgMar w:top="1080" w:right="1080" w:bottom="1080" w:left="1080" w:header="720" w:footer="720" w:gutter="0"/>
          <w:paperSrc w:first="263" w:other="263"/>
          <w:noEndnote/>
          <w:docGrid w:linePitch="218"/>
        </w:sectPr>
      </w:pPr>
      <w:r>
        <w:t xml:space="preserve">(031 KAR 004:080. 21 Ky.R. 1398; 1719; eff. 1-9-1995; Crt eff. 3-6-2019; 52 Ky.R. 791; eff. 5-5-2026.)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fbde3f6aba4e41" /><Relationship Type="http://schemas.openxmlformats.org/officeDocument/2006/relationships/settings" Target="/word/settings.xml" Id="Ra8d870541e774821" /></Relationships>
</file>