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4108724bd5488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(Amended After Comments)</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2025</w:t>
      </w:r>
      <w:r>
        <w:t>[</w:t>
      </w:r>
      <w:r>
        <w:rPr>
          <w:strike w:val="true"/>
        </w:rPr>
        <w:t xml:space="preserve">2023</w:t>
      </w:r>
      <w:r>
        <w:t>]</w:t>
      </w:r>
      <w:r>
        <w:t xml:space="preserve"> Update to the State Health Plan", </w:t>
      </w:r>
      <w:r>
        <w:rPr>
          <w:b/>
          <w:u w:val="single"/>
        </w:rPr>
        <w:t xml:space="preserve">October 2025</w:t>
      </w:r>
      <w:r>
        <w:t>[</w:t>
      </w:r>
      <w:r>
        <w:rPr>
          <w:b/>
          <w:strike w:val="true"/>
          <w:u w:val="single"/>
        </w:rPr>
        <w:t xml:space="preserve">June 2025</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signature"/>
      </w:pPr>
      <w:r>
        <w:t xml:space="preserve">TRICIA STEWARD, Inspector General</w:t>
      </w:r>
    </w:p>
    <w:p>
      <w:pPr>
        <w:pStyle w:val="kar_signature"/>
      </w:pPr>
      <w:r>
        <w:t xml:space="preserve">STEVEN J. STACK, MD, MBA, Secretary</w:t>
      </w:r>
    </w:p>
    <w:p>
      <w:pPr>
        <w:pStyle w:val="kar_normal"/>
      </w:pPr>
      <w:r>
        <w:t xml:space="preserve"/>
      </w:r>
    </w:p>
    <w:p>
      <w:pPr>
        <w:pStyle w:val="kar_approved_by"/>
      </w:pPr>
      <w:r>
        <w:t xml:space="preserve">APPROVED BY AGENCY: October 10, 2025</w:t>
      </w:r>
    </w:p>
    <w:p>
      <w:pPr>
        <w:pStyle w:val="kar_filed"/>
      </w:pPr>
      <w:r>
        <w:t xml:space="preserve">FILED WITH LRC: October 14, 2025 at 10:40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Valerie Moore and Krista Quarles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current State Health Plan as defined by KRS 216B.015(28) and as required by KRS 216B.040(2)(a).</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216B.015(28), and 216B.040(2)(a)2.a.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KRS 216B.010, 216B.015(28), and 216B.040(2)(a)2.a., by establishing the State Health Plan’s review criteria used for determinations regarding the issuance and denial of certificates of need.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review criteria for certificate of need determinations.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suggestions and comments submitted to the cabinet by interested groups, the amendment to this administrative regulation makes the following changes to the State Health Plan (SHP): Updates the title and edition date of the SHP on page i of the Plan; Updates page numbers on Table of Contents section on page ii; Updates the title of the SHP on page iii of the Plan under the heading "Purpose"; Adds new definition under Section A: Acute Care Hospital for "Pediatric Teaching Hospital"; Adds new language on page 3 to establish criteria for new "acute care hospitals" that are "pediatric teaching hospitals"; Establishes that a "pediatric teaching hospital" shall not be considered a "specialized hospital"; Adds language to permit a Level II PRTF with four (4) Level II Special Care Neonatal beds; Makes changes to Ambulatory Surgical Centers in regards to ownership of Ambulatory Surgical Centers that perform "cornea transplants" and "glaucoma fistulizing surgery"; Makes changes to Cardiac Catheterizations to establish a comprehensive (diagnostic and therapeutic) cardiac catheterization service if applicant is under same ownership in the same county.  These changes align with the proposed amendment of 900 KAR 6:075 and 900 KAR 6:075E, Section 2(3)(k)-(l), filed concurrently with this administrative regulation to grant nonsubstantive review status to certificate of need applications for acute care hospitals that wish to convert existing acute care beds to pediatric psychiatric beds at pediatric teaching hospitals as described above.  The amended after comments document makes the following changes:  In the Acute Care Hospital section of the State Health Plan adding language to allow hospitals in contiguous counties to a new acute care hospital if the county doesn’t have a hospital or if the existing hospital has owned and operated a full service emergency department in the contiguous county for over 5 years or longer with a minimum of 15,000 emergency room visits in the most recent year of existence and the transfer of the acute care beds does not result in the need for additional acute care beds in the county of the transferring facility using the SHP methodology for the net county acute care bed need.  Adds language to Section D. Special Care Neonatal Beds 6.b.to read as follows:  Detailed policies and procedures from the American Academy of Pediatrics and the American College of Obstetricians and Gynecologists described in the Guidelines for Perinatal Care and the Standards for Levels of Neonatal Care: II, III, and IV for the availability of appropriately trained personnel and providersfor the availability of obstetrics and neonatologists who are continuously available on site or able to be present within 30 minutes; appropriate equipment; appropriately trained personnel; and transfer agreements and procedures for infants born at &lt; thirty-two (32) weeks gestation or who weigh &lt; 1,500 grams at birth or when needed for pediatric surgical or medical subspecialty intervention;  Corrects numbering in the same section from 4.to 9.  Makes a correction to language within regards to ICF/IID (Section E) to align with statute.  Adds the words"; or more recent verifiable external or applicant’s internal data source." To the Megavoltage Radiation Equipment review criteria number 1.  Also adds the words "an existing Kentucky" to criteria 4.   Under Section V. Miscellaneous Services, A. Ambulance Service, add "or" before III and delete "or IV" </w:t>
      </w:r>
    </w:p>
    <w:p>
      <w:pPr>
        <w:pStyle w:val="kar_normal"/>
        <w:ind w:left="576"/>
      </w:pPr>
      <w:r>
        <w:t xml:space="preserve">(b) The necessity of the amendment to this administrative regulation:</w:t>
      </w:r>
    </w:p>
    <w:p>
      <w:pPr>
        <w:pStyle w:val="kar_normal"/>
        <w:ind w:left="720"/>
      </w:pPr>
      <w:r>
        <w:t xml:space="preserve">This amendment is needed to expand inpatient pediatric behavioral health services throughout the state, including rural areas, to enhance immediate access to resources for at-risk pediatric mental health patients of such acuity that they need inpatient services and stabilization.</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because it incorporates by reference the State Health Plan.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the review criteria for certificate of need determinations.</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Yes, 2022 HB 777 &amp; 2025 HB 305 for changes in ambulance services, and 2023 HB 334 for ICF/IID changes,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and affected persons as defined by KRS 216B.015(3). A total of 60 certificate of need applications were submitted to the cabinet in calendar year 2020; 70 certificate of need applications were submitted in calendar year 2021; 81 applications submitted in calendar year 2022; 60 applications submitted in calendar year 2023; and 67 applications submitted in calendar year 2024.</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Entities that submit a certificate of need application are subject to the criteria set forth in the State Health Plan.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certificate of need application filing fee for nonsubstantive review and formal review is established in a separate administrative regulation, 900 KAR 6:020.</w:t>
      </w:r>
    </w:p>
    <w:p>
      <w:pPr>
        <w:pStyle w:val="kar_normal"/>
        <w:ind w:left="576"/>
      </w:pPr>
      <w:r>
        <w:t xml:space="preserve">(c) As a result of compliance, what benefits will accrue to the entities identified in question (4):</w:t>
      </w:r>
    </w:p>
    <w:p>
      <w:pPr>
        <w:pStyle w:val="kar_normal"/>
        <w:ind w:left="720"/>
      </w:pPr>
      <w:r>
        <w:t xml:space="preserve">Entities subject to certificate of need approval must demonstrate that their proposal is consistent with the State Health Plan pursuant to KRS 216B.040(2)(a)2.a.</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general funds and agency monies are used to implement and enforce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(10) TIERING: Is tiering applied?</w:t>
      </w:r>
    </w:p>
    <w:p>
      <w:pPr>
        <w:pStyle w:val="kar_normal"/>
        <w:ind w:left="432"/>
      </w:pPr>
      <w:r>
        <w:t xml:space="preserve">Yes, tiering is used as there are different certificate of need review criteria for each licensure category addressed in the State Health Plan.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216B.010, 216B.015(28), and 216B.040(2)(a)2.a.</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impacts the Cabinet for Health and Family Services, Office of Inspector General, and may impact any government owned or controlled health care facility.</w:t>
      </w:r>
    </w:p>
    <w:p>
      <w:pPr>
        <w:pStyle w:val="kar_normal"/>
        <w:ind w:left="576"/>
      </w:pPr>
      <w:r>
        <w:t xml:space="preserve">(a) Estimate the following for the first year:</w:t>
      </w:r>
    </w:p>
    <w:p>
      <w:pPr>
        <w:pStyle w:val="kar_normal"/>
        <w:ind w:left="864"/>
      </w:pPr>
      <w:r>
        <w:t xml:space="preserve">Expenditures:</w:t>
      </w:r>
      <w:r>
        <w:t xml:space="preserve"> This amendment will not cause additional expenditures.</w:t>
      </w:r>
    </w:p>
    <w:p>
      <w:pPr>
        <w:pStyle w:val="kar_normal"/>
        <w:ind w:left="864"/>
      </w:pPr>
      <w:r>
        <w:t xml:space="preserve">Revenues:</w:t>
      </w:r>
      <w:r>
        <w:t xml:space="preserve"> This amendment will not generate additional revenue.</w:t>
      </w:r>
    </w:p>
    <w:p>
      <w:pPr>
        <w:pStyle w:val="kar_normal"/>
        <w:ind w:left="864"/>
      </w:pPr>
      <w:r>
        <w:t xml:space="preserve">Cost Savings:</w:t>
      </w:r>
      <w:r>
        <w:t xml:space="preserve"> This amendment will not generate any cost savings. (b) How will expenditures, revenue, or cost savings differ in subsequent years? This amendment will not generate additional expenditures, revenue or cost savings for state or local government during subsequent years.</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amendment should have no additional effect on local entities.</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is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(4) Identify additional regulated entities not listed in questions (2) or (3):</w:t>
      </w:r>
    </w:p>
    <w:p>
      <w:pPr>
        <w:pStyle w:val="kar_normal"/>
        <w:ind w:left="432"/>
      </w:pPr>
      <w:r>
        <w:t xml:space="preserve">All affected entities are listed in questions (2) and (3).</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are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cost savings are expected as a result of this amendment.</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as a result of the amendment to this regulation.</w:t>
      </w:r>
    </w:p>
    <w:p>
      <w:pPr>
        <w:pStyle w:val="kar_normal"/>
        <w:ind w:left="576"/>
      </w:pPr>
      <w:r>
        <w:t xml:space="preserve">(b) Methodology and resources used to determine the fiscal impact:</w:t>
      </w:r>
    </w:p>
    <w:p>
      <w:pPr>
        <w:pStyle w:val="kar_normal"/>
        <w:ind w:left="720"/>
      </w:pPr>
      <w:r>
        <w:t xml:space="preserve">No money spent; no money gained equals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is not expected to have a major economic impact on the regulated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 money spent; no money gained equals no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8e2b1c75d54aaa" /><Relationship Type="http://schemas.openxmlformats.org/officeDocument/2006/relationships/settings" Target="/word/settings.xml" Id="R927dffc339dd466e" /></Relationships>
</file>