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859eca0e384e80" /></Relationships>
</file>

<file path=word/document.xml><?xml version="1.0" encoding="utf-8"?>
<w:document xmlns:w="http://schemas.openxmlformats.org/wordprocessingml/2006/main">
  <w:body>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216B.020, 216B.040, 216B.062, 216B.090, 216B.095, 216B.115, 216B.450(5), 216B.455, 216B.990, 311A.025(4)</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ubsection"/>
      </w:pPr>
      <w:r>
        <w:t xml:space="preserve">(8)</w:t>
      </w:r>
      <w:r>
        <w:t xml:space="preserve"> </w:t>
      </w:r>
      <w:r>
        <w:t xml:space="preserve">"Psychiatric residential treatment facility" or "PRTF" is defined in KRS 216B.450(5) as a Level I facility or a Level II facility.</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healthcare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most recent annual update to the overall star ratings preceding the date the application was filed;</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p>
    <w:p>
      <w:pPr>
        <w:pStyle w:val="kar_paragraph"/>
      </w:pPr>
      <w:r>
        <w:t xml:space="preserve">(h)</w:t>
      </w:r>
      <w:r>
        <w:t xml:space="preserve"> </w:t>
      </w:r>
      <w:r>
        <w:t xml:space="preserve">The proposal involves an application to establish an inpatient psychiatric unit in an existing licensed acute care hospital under the following conditions:</w:t>
      </w:r>
    </w:p>
    <w:p>
      <w:pPr>
        <w:pStyle w:val="kar_subparagraph"/>
      </w:pPr>
      <w:r>
        <w:t xml:space="preserve">1.</w:t>
      </w:r>
      <w:r>
        <w:t xml:space="preserve"> </w:t>
      </w:r>
      <w:r>
        <w:t xml:space="preserve">The hospital is located in a county that has no existing, freestanding psychiatric hospital;</w:t>
      </w:r>
    </w:p>
    <w:p>
      <w:pPr>
        <w:pStyle w:val="kar_subparagraph"/>
      </w:pPr>
      <w:r>
        <w:t xml:space="preserve">2.</w:t>
      </w:r>
      <w:r>
        <w:t xml:space="preserve"> </w:t>
      </w:r>
      <w:r>
        <w:t xml:space="preserve">The occupancy of acute care beds in the applicant's facility is less than seventy (70) percent according to the most recent edition of the Kentucky Annual Hospital Utilization and Services Report;</w:t>
      </w:r>
    </w:p>
    <w:p>
      <w:pPr>
        <w:pStyle w:val="kar_subparagraph"/>
      </w:pPr>
      <w:r>
        <w:t xml:space="preserve">3.</w:t>
      </w:r>
      <w:r>
        <w:t xml:space="preserve"> </w:t>
      </w:r>
      <w:r>
        <w:t xml:space="preserve"> </w:t>
      </w:r>
    </w:p>
    <w:p>
      <w:pPr>
        <w:pStyle w:val="kar_clause"/>
      </w:pPr>
      <w:r>
        <w:t xml:space="preserve">a.</w:t>
      </w:r>
      <w:r>
        <w:t xml:space="preserve"> </w:t>
      </w:r>
      <w:r>
        <w:t xml:space="preserve">All of the proposed psychiatric beds are being converted from licensed acute care beds; and</w:t>
      </w:r>
    </w:p>
    <w:p>
      <w:pPr>
        <w:pStyle w:val="kar_clause"/>
      </w:pPr>
      <w:r>
        <w:t xml:space="preserve">b.</w:t>
      </w:r>
      <w:r>
        <w:t xml:space="preserve"> </w:t>
      </w:r>
      <w:r>
        <w:t xml:space="preserve">No more than twenty (20) percent of the facility's acute care beds up to a maximum of twenty-five (25) beds will be converted to psychiatric beds;</w:t>
      </w:r>
    </w:p>
    <w:p>
      <w:pPr>
        <w:pStyle w:val="kar_subparagraph"/>
      </w:pPr>
      <w:r>
        <w:t xml:space="preserve">4.</w:t>
      </w:r>
      <w:r>
        <w:t xml:space="preserve"> </w:t>
      </w:r>
      <w:r>
        <w:t xml:space="preserve">All of the psychiatric beds will be implemented onsite at the applicant's existing licensed facility; and</w:t>
      </w:r>
    </w:p>
    <w:p>
      <w:pPr>
        <w:pStyle w:val="kar_subparagraph"/>
      </w:pPr>
      <w:r>
        <w:t xml:space="preserve">5.</w:t>
      </w:r>
      <w:r>
        <w:t xml:space="preserve"> </w:t>
      </w:r>
      <w:r>
        <w:t xml:space="preserve">All of the psychiatric beds shall be dedicated exclusively to the treatment of adult patients, aged eighteen (18) to sixty-four (64);</w:t>
      </w:r>
    </w:p>
    <w:p>
      <w:pPr>
        <w:pStyle w:val="kar_paragraph"/>
      </w:pPr>
      <w:r>
        <w:t xml:space="preserve">(i)</w:t>
      </w:r>
      <w:r>
        <w:t xml:space="preserve"> </w:t>
      </w:r>
      <w:r>
        <w:t xml:space="preserve">The proposal involves an application by a Kentucky-licensed acute care hospital, critical access hospital, or nursing facility proposing to expand a home health service to provide services exclusively to patients discharged from its facility who require home health services at the time of discharge and no existing, licensed home health agency is available and willing to accept the referral. The hospital or nursing facility shall document its efforts to find a Home Health Agency. A license issued under this subsection shall contain the limitation set forth herein;</w:t>
      </w:r>
    </w:p>
    <w:p>
      <w:pPr>
        <w:pStyle w:val="kar_paragraph"/>
      </w:pPr>
      <w:r>
        <w:t xml:space="preserve">(j)</w:t>
      </w:r>
      <w:r>
        <w:t xml:space="preserve"> </w:t>
      </w:r>
      <w:r>
        <w:t xml:space="preserve">The proposal involves an application for a Level II PRTF;</w:t>
      </w:r>
    </w:p>
    <w:p>
      <w:pPr>
        <w:pStyle w:val="kar_paragraph"/>
      </w:pPr>
      <w:r>
        <w:t xml:space="preserve">(k)</w:t>
      </w:r>
      <w:r>
        <w:t xml:space="preserve"> </w:t>
      </w:r>
      <w:r>
        <w:t xml:space="preserve">The proposal involves an application to establish a new pediatric teaching hospital under the following circumstances:</w:t>
      </w:r>
    </w:p>
    <w:p>
      <w:pPr>
        <w:pStyle w:val="kar_subparagraph"/>
      </w:pPr>
      <w:r>
        <w:t xml:space="preserve">1.</w:t>
      </w:r>
      <w:r>
        <w:t xml:space="preserve"> </w:t>
      </w:r>
      <w:r>
        <w:t xml:space="preserve">No less than one hundred fifty (150) pediatric acute care beds of the new pediatric teaching hospital are transferred from an existing pediatric teaching hospital that is a Kentucky-licensed hospital;</w:t>
      </w:r>
    </w:p>
    <w:p>
      <w:pPr>
        <w:pStyle w:val="kar_subparagraph"/>
      </w:pPr>
      <w:r>
        <w:t xml:space="preserve">2.</w:t>
      </w:r>
      <w:r>
        <w:t xml:space="preserve"> </w:t>
      </w:r>
      <w:r>
        <w:t xml:space="preserve">The existing pediatric teaching hospital is under common ownership with the new pediatric teaching hospital;</w:t>
      </w:r>
    </w:p>
    <w:p>
      <w:pPr>
        <w:pStyle w:val="kar_subparagraph"/>
      </w:pPr>
      <w:r>
        <w:t xml:space="preserve">3.</w:t>
      </w:r>
      <w:r>
        <w:t xml:space="preserve"> </w:t>
      </w:r>
      <w:r>
        <w:t xml:space="preserve">The existing pediatric teaching hospital is located within the same county as the new pediatric teaching hospital;</w:t>
      </w:r>
    </w:p>
    <w:p>
      <w:pPr>
        <w:pStyle w:val="kar_subparagraph"/>
      </w:pPr>
      <w:r>
        <w:t xml:space="preserve">4.</w:t>
      </w:r>
      <w:r>
        <w:t xml:space="preserve"> </w:t>
      </w:r>
      <w:r>
        <w:t xml:space="preserve">The new pediatric teaching hospital may include the same types of pediatric services and diagnostic equipment as currently provided at the existing pediatric teaching hospital, including pediatric acute care, Level II, III, and IV special neonatal beds, pediatric open heart surgery and cardiac catheterization, pediatric organ and tissue transplant program, pediatric psychiatric beds, and pediatric megavoltage radiation, positron emission tomography, and magnetic resonance imaging equipment, with no additional certificate of need application required for establishing any of these specific pediatric services and diagnostic equipment at the new pediatric teaching hospital;</w:t>
      </w:r>
    </w:p>
    <w:p>
      <w:pPr>
        <w:pStyle w:val="kar_subparagraph"/>
      </w:pPr>
      <w:r>
        <w:t xml:space="preserve">5.</w:t>
      </w:r>
      <w:r>
        <w:t xml:space="preserve"> </w:t>
      </w:r>
      <w:r>
        <w:t xml:space="preserve">The total number of pediatric acute care beds at the new pediatric teaching hospital shall not exceed 140% of the total number of pediatric beds at the existing pediatric teaching hospital at the time of application, and the pediatric acute care beds remaining at the existing pediatric teaching hospital shall not be designated as adult beds; and</w:t>
      </w:r>
    </w:p>
    <w:p>
      <w:pPr>
        <w:pStyle w:val="kar_subparagraph"/>
      </w:pPr>
      <w:r>
        <w:t xml:space="preserve">6.</w:t>
      </w:r>
      <w:r>
        <w:t xml:space="preserve"> </w:t>
      </w:r>
      <w:r>
        <w:t xml:space="preserve">The applicant certifies that the new pediatric teaching hospital will continuously operate as a pediatric teaching hospital, as that term is currently defined; or</w:t>
      </w:r>
    </w:p>
    <w:p>
      <w:pPr>
        <w:pStyle w:val="kar_paragraph"/>
      </w:pPr>
      <w:r>
        <w:t xml:space="preserve">(l)</w:t>
      </w:r>
      <w:r>
        <w:t xml:space="preserve"> </w:t>
      </w:r>
      <w:r>
        <w:t xml:space="preserve">The proposal involves an application to establish a comprehensive (diagnostic and therapeutic) cardiac catheterization service, and the applicant is under common ownership with an existing provider of comprehensive (diagnostic and therapeutic) cardiac catheterization within the same county.</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established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(https://kbems.ky.gov/Legal/Pages/EMS-Directory.aspx)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 </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420939a6bb4132" /><Relationship Type="http://schemas.openxmlformats.org/officeDocument/2006/relationships/settings" Target="/word/settings.xml" Id="Rbc88a830d036428c" /></Relationships>
</file>