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4d9a96883c4292" /></Relationships>
</file>

<file path=word/document.xml><?xml version="1.0" encoding="utf-8"?>
<w:document xmlns:w="http://schemas.openxmlformats.org/wordprocessingml/2006/main">
  <w:body>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216.510, 218A.205, 311.530-311.620, 311.840-311.862, 311.990</w:t>
      </w:r>
    </w:p>
    <w:p>
      <w:pPr>
        <w:pStyle w:val="kar_markup_metadata"/>
      </w:pPr>
      <w:r>
        <w:t xml:space="preserve">STATUTORY AUTHORITY: </w:t>
      </w:r>
      <w:r>
        <w:t xml:space="preserve">KRS 218A.205(3), 311.565(1)(a),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t xml:space="preserve">Applicability.</w:t>
      </w:r>
    </w:p>
    <w:p>
      <w:pPr>
        <w:pStyle w:val="kar_subsection"/>
      </w:pPr>
      <w:r>
        <w:t xml:space="preserve">(1)</w:t>
      </w:r>
      <w:r>
        <w:t xml:space="preserve"> </w:t>
      </w:r>
      <w:r>
        <w:t xml:space="preserve">Any licensee who prescribes, dispenses or administers Buprenorphine-Mono-Product or Buprenorphine-Combined-with-Naloxone shall comply with the standards of acceptable and prevailing medical practices established in this administrative regulation.</w:t>
      </w:r>
    </w:p>
    <w:p>
      <w:pPr>
        <w:pStyle w:val="kar_subsection"/>
      </w:pPr>
      <w:r>
        <w:t xml:space="preserve">(2)</w:t>
      </w:r>
      <w:r>
        <w:t xml:space="preserve"> </w:t>
      </w:r>
      <w:r>
        <w:t xml:space="preserve">A physician assistant shall only prescribe or administer Buprenorphine-Mono-Product or Buprenorphine-Combined-with-Naloxone to the extent delegated by the supervising physician in the applications required by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t xml:space="preserve">(a)</w:t>
      </w:r>
      <w:r>
        <w:t xml:space="preserve"> </w:t>
      </w:r>
      <w: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t xml:space="preserve">(b)</w:t>
      </w:r>
      <w:r>
        <w:t xml:space="preserve"> </w:t>
      </w:r>
      <w:r>
        <w:t xml:space="preserve">If the physician assistant's supervising physician changes or the supervising physician becomes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t xml:space="preserve">(c)</w:t>
      </w:r>
      <w:r>
        <w:t xml:space="preserve"> </w:t>
      </w:r>
      <w:r>
        <w:t xml:space="preserve">Prescribing or administering Buprenorphine-Mono-Product or Buprenorphine-Combined-with-Naloxone without the applications required by KRS 311.854 and 311.858 shall constitute a violation of this administrative regulation and shall be grounds for an emergency order of restriction or suspension.</w:t>
      </w:r>
    </w:p>
    <w:p>
      <w:pPr>
        <w:pStyle w:val="kar_subsection"/>
      </w:pPr>
      <w:r>
        <w:t xml:space="preserve">(3)</w:t>
      </w:r>
      <w:r>
        <w:t xml:space="preserve"> </w:t>
      </w:r>
      <w:r>
        <w:t xml:space="preserve">The professional standards established in this administrative regulation shall not apply to prescribing, dispensing, or administering Buprenorphine-Mono-Product or Buprenorphine-Combined-with-Naloxone:</w:t>
      </w:r>
    </w:p>
    <w:p>
      <w:pPr>
        <w:pStyle w:val="kar_paragraph"/>
      </w:pPr>
      <w:r>
        <w:t xml:space="preserve">(a)</w:t>
      </w:r>
      <w:r>
        <w:t xml:space="preserve"> </w:t>
      </w:r>
      <w:r>
        <w:t xml:space="preserve">To a patient as part of the patient's hospice or end-of-life treatment;</w:t>
      </w:r>
    </w:p>
    <w:p>
      <w:pPr>
        <w:pStyle w:val="kar_paragraph"/>
      </w:pPr>
      <w:r>
        <w:t xml:space="preserve">(b)</w:t>
      </w:r>
      <w:r>
        <w:t xml:space="preserve"> </w:t>
      </w:r>
      <w:r>
        <w:t xml:space="preserve">To a patient who has an active and substantiated cancer diagnosis and is suffering from cancer-related pain, if prescribed or dispensed by a board-certified oncologist;</w:t>
      </w:r>
    </w:p>
    <w:p>
      <w:pPr>
        <w:pStyle w:val="kar_paragraph"/>
      </w:pPr>
      <w:r>
        <w:t xml:space="preserve">(c)</w:t>
      </w:r>
      <w:r>
        <w:t xml:space="preserve"> </w:t>
      </w:r>
      <w:r>
        <w:t xml:space="preserve">To a patient who is receiving palliative care for cancer-related pain, if prescribed or dispensed by a board-certified palliative care specialist;</w:t>
      </w:r>
    </w:p>
    <w:p>
      <w:pPr>
        <w:pStyle w:val="kar_paragraph"/>
      </w:pPr>
      <w:r>
        <w:t xml:space="preserve">(d)</w:t>
      </w:r>
      <w:r>
        <w:t xml:space="preserve"> </w:t>
      </w:r>
      <w:r>
        <w:t xml:space="preserve">To a patient admitted to a hospital-based or hospital-affiliated emergency department while the patient is admitted therein;</w:t>
      </w:r>
    </w:p>
    <w:p>
      <w:pPr>
        <w:pStyle w:val="kar_paragraph"/>
      </w:pPr>
      <w:r>
        <w:t xml:space="preserve">(e)</w:t>
      </w:r>
      <w:r>
        <w:t xml:space="preserve"> </w:t>
      </w:r>
      <w:r>
        <w:t xml:space="preserve">To a patient admitted to a licensed hospital, during and as part of a normal and expected part of the patient's course of care at that hospital;</w:t>
      </w:r>
    </w:p>
    <w:p>
      <w:pPr>
        <w:pStyle w:val="kar_paragraph"/>
      </w:pPr>
      <w:r>
        <w:t xml:space="preserve">(f)</w:t>
      </w:r>
      <w:r>
        <w:t xml:space="preserve"> </w:t>
      </w:r>
      <w:r>
        <w:t xml:space="preserve">To a patient who is admitted to a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t xml:space="preserve">(g)</w:t>
      </w:r>
      <w:r>
        <w:t xml:space="preserve"> </w:t>
      </w:r>
      <w:r>
        <w:t xml:space="preserve">To a patient who is a registered resident of a long-term care facility as defined in KRS 216.510; or</w:t>
      </w:r>
    </w:p>
    <w:p>
      <w:pPr>
        <w:pStyle w:val="kar_paragraph"/>
      </w:pPr>
      <w:r>
        <w:t xml:space="preserve">(h)</w:t>
      </w:r>
      <w:r>
        <w:t xml:space="preserve"> </w:t>
      </w:r>
      <w: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t xml:space="preserve">Section 2.</w:t>
      </w:r>
      <w:r>
        <w:t xml:space="preserve"> </w:t>
      </w:r>
      <w:r>
        <w:t xml:space="preserve">Minimum Qualifications.</w:t>
      </w:r>
    </w:p>
    <w:p>
      <w:pPr>
        <w:pStyle w:val="kar_subsection"/>
      </w:pPr>
      <w:r>
        <w:t xml:space="preserve">(1)</w:t>
      </w:r>
      <w:r>
        <w:t xml:space="preserve"> </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controlled substances, including Buprenorphine-Mono-Product or Buprenorphine-Combined-with-Naloxone, and shall have completed any and all courses deemed necessary by the DEA.</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ection"/>
      </w:pPr>
      <w:r>
        <w:t xml:space="preserve">Section 3.</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t xml:space="preserve">Except as established in Section 1(3)(a), (b) and (c), 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 or</w:t>
      </w:r>
    </w:p>
    <w:p>
      <w:pPr>
        <w:pStyle w:val="kar_paragraph"/>
      </w:pPr>
      <w:r>
        <w:t xml:space="preserve">(d)</w:t>
      </w:r>
      <w:r>
        <w:t xml:space="preserve"> </w:t>
      </w:r>
      <w:r>
        <w:t xml:space="preserve">To a patient transitioning from a full opioid agonist to buprenorphine, limited to a period of no longer than thirty (30) days.</w:t>
      </w:r>
    </w:p>
    <w:p>
      <w:pPr>
        <w:pStyle w:val="kar_subsection"/>
      </w:pPr>
      <w:r>
        <w:t xml:space="preserve">(3)</w:t>
      </w:r>
      <w:r>
        <w:t xml:space="preserve"> </w:t>
      </w:r>
      <w:r>
        <w:t xml:space="preserve">If Buprenorphine-Mono-Product or Buprenorphine-Combined-with-Naloxone is prescribed, dispensed, or administered to a patient who is also being prescribed other controlled substances or other substances subject to abuse or misuse beyond a period of three (3) months, then the licensee shall obtain and document a formal provider-to-provider or patient-to-provider consultation of a physician who is certified by the American Board of Addiction Medicine, the American Board of Preventive Medicine in addiction medicine, the American Board of Medical Specialties (ABMS) in addiction medicine, or an American Osteopathic Association (AOA) certifying board in addiction medicine or a physician who has completed an addiction psychiatry fellowship.</w:t>
      </w:r>
    </w:p>
    <w:p>
      <w:pPr>
        <w:pStyle w:val="kar_subsection"/>
      </w:pPr>
      <w:r>
        <w:t xml:space="preserve">(4)</w:t>
      </w:r>
      <w:r>
        <w:t xml:space="preserve"> </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t xml:space="preserve">Offeringscreening with counseling 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the licensee shall offer to screen for pregnancy and provide counseling as to the risk of neonatal abstinence syndrome which shall be consistent with current SAMHSA guidance. If the patient is pregnant, the prescribing, dispensing, or administering licensee shall refer the patient to an obstetrician or maternal-fetal medicine specialist for prenatal care, unless the licensee assumes management of the prenatal care.</w:t>
      </w:r>
    </w:p>
    <w:p>
      <w:pPr>
        <w:pStyle w:val="kar_paragraph"/>
      </w:pPr>
      <w:r>
        <w:t xml:space="preserve">(b)</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initiation protocol, particularly if the patient is on fentanyl or methadone.</w:t>
      </w:r>
    </w:p>
    <w:p>
      <w:pPr>
        <w:pStyle w:val="kar_clause"/>
      </w:pPr>
      <w:r>
        <w:t xml:space="preserve">a.</w:t>
      </w:r>
      <w:r>
        <w:t xml:space="preserve"> </w:t>
      </w:r>
      <w:r>
        <w:t xml:space="preserve">Except as provided in clause b. of this subparagraph, the licensee shall supervise the in-office observed initiation protocol and shall ensure that resources are available to manage precipitated withdrawal.</w:t>
      </w:r>
    </w:p>
    <w:p>
      <w:pPr>
        <w:pStyle w:val="kar_clause"/>
      </w:pPr>
      <w:r>
        <w:t xml:space="preserve">b.</w:t>
      </w:r>
      <w:r>
        <w:t xml:space="preserve"> </w:t>
      </w:r>
      <w:r>
        <w:t xml:space="preserve">If an in-office observed initiation does not occur, the licensee shall appropriately record the circumstances in the patient chart and shall educate the patient about the potential for precipitated withdrawal. The licensee shall be responsible for the coordination and implementation of a plan to manage precipitated withdrawal outside of an in-office observed initiation.</w:t>
      </w:r>
    </w:p>
    <w:p>
      <w:pPr>
        <w:pStyle w:val="kar_subparagraph"/>
      </w:pPr>
      <w:r>
        <w:t xml:space="preserve">2.</w:t>
      </w:r>
      <w:r>
        <w:t xml:space="preserve"> </w:t>
      </w:r>
      <w:r>
        <w:t xml:space="preserve">The licensee shall assess for and document the presence or absence 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(c)</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t xml:space="preserve">Not rely solely on the patient's self-reported history but shall comply with the standards established in Section 3(4) of this administrative regulation;</w:t>
      </w:r>
    </w:p>
    <w:p>
      <w:pPr>
        <w:pStyle w:val="kar_subparagraph"/>
      </w:pPr>
      <w:r>
        <w:t xml:space="preserve">2.</w:t>
      </w:r>
      <w:r>
        <w:t xml:space="preserve"> </w:t>
      </w:r>
      <w:r>
        <w:t xml:space="preserve">Make reasonable attempts to obtain records from the prior treatment provider;</w:t>
      </w:r>
    </w:p>
    <w:p>
      <w:pPr>
        <w:pStyle w:val="kar_subparagraph"/>
      </w:pPr>
      <w:r>
        <w:t xml:space="preserve">3.</w:t>
      </w:r>
      <w:r>
        <w:t xml:space="preserve"> </w:t>
      </w:r>
      <w:r>
        <w:t xml:space="preserve">Educate the patient about the potential for precipitated withdrawal; and</w:t>
      </w:r>
    </w:p>
    <w:p>
      <w:pPr>
        <w:pStyle w:val="kar_subparagraph"/>
      </w:pPr>
      <w:r>
        <w:t xml:space="preserve">4.</w:t>
      </w:r>
      <w:r>
        <w:t xml:space="preserve"> </w:t>
      </w:r>
      <w:r>
        <w:t xml:space="preserve">Make an informed and independent clinical decision to continue maintenance treatment of the patient on the same or less dosage as established by the previous treatment provider and then as provided in paragraph (e) of this subsection.</w:t>
      </w:r>
    </w:p>
    <w:p>
      <w:pPr>
        <w:pStyle w:val="kar_paragraph"/>
      </w:pPr>
      <w:r>
        <w:t xml:space="preserve">(d)</w:t>
      </w:r>
      <w:r>
        <w:t xml:space="preserve"> </w:t>
      </w:r>
      <w:r>
        <w:t xml:space="preserve">After initial initiation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p>
    <w:p>
      <w:pPr>
        <w:pStyle w:val="kar_clause"/>
      </w:pPr>
      <w:r>
        <w:t xml:space="preserve">c.</w:t>
      </w:r>
      <w:r>
        <w:t xml:space="preserve"> </w:t>
      </w:r>
      <w:r>
        <w:t xml:space="preserve">Is to be taken no more frequently than twice daily;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 by a licensed clinical healthcare professional with prescribing authority:</w:t>
      </w:r>
    </w:p>
    <w:p>
      <w:pPr>
        <w:pStyle w:val="kar_subclause"/>
      </w:pPr>
      <w:r>
        <w:t xml:space="preserve">(i)</w:t>
      </w:r>
      <w:r>
        <w:t xml:space="preserve"> </w:t>
      </w:r>
      <w:r>
        <w:t xml:space="preserve">No later than ten (10) days after initiation and then at intervals of no more than ten (10) days for the first month after initiation; and</w:t>
      </w:r>
    </w:p>
    <w:p>
      <w:pPr>
        <w:pStyle w:val="kar_subclause"/>
      </w:pPr>
      <w:r>
        <w:t xml:space="preserve">(ii)</w:t>
      </w:r>
      <w:r>
        <w:t xml:space="preserve"> </w:t>
      </w:r>
      <w:r>
        <w:t xml:space="preserve">At intervals of no more than fourteen (14) days for the second month after initiation.</w:t>
      </w:r>
    </w:p>
    <w:p>
      <w:pPr>
        <w:pStyle w:val="kar_clause"/>
      </w:pPr>
      <w:r>
        <w:t xml:space="preserve">b.</w:t>
      </w:r>
      <w:r>
        <w:t xml:space="preserve"> </w:t>
      </w:r>
    </w:p>
    <w:p>
      <w:pPr>
        <w:pStyle w:val="kar_subclause"/>
      </w:pPr>
      <w:r>
        <w:t xml:space="preserve">(i)</w:t>
      </w:r>
      <w:r>
        <w:t xml:space="preserve"> </w:t>
      </w:r>
      <w:r>
        <w:t xml:space="preserve">If the patient demonstrates objective signs of 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unexpected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 in addiction medicine, the American Board of Medical Specialties (ABMS) in psychiatry, or an American Osteopathic Association (AOA) certifying board in addiction medicine or psychiatry, then the licensee shallrefer the patient for a formal consultation with a physician who is certified by the American Board of Addiction Medicine, the American Board of Preventive Medicine in addiction medicine, the American Board of Medical Specialties (ABMS) in psychiatry, or an American Osteopathic Association (AOA) certifying board in addiction medicine or a physician who has completed an addiction psychiatry fellowship for an opinion as to whether continued treatment and dosage is appropriate and shall accurately document the results of that consultation in the patient chart.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t xml:space="preserve">Except as established in this subclause, each drug screen shall at a minimum screen for buprenorphine, methadone, opioids, THC, benzodiazepines, amphetamines, and cocaine. 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unexpected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 with urine confirmation, a consultation with a specialist, or an alternative treatment.</w:t>
      </w:r>
    </w:p>
    <w:p>
      <w:pPr>
        <w:pStyle w:val="kar_subparagraph"/>
      </w:pPr>
      <w:r>
        <w:t xml:space="preserve">6.</w:t>
      </w:r>
      <w:r>
        <w:t xml:space="preserve"> </w:t>
      </w:r>
      <w:r>
        <w:t xml:space="preserve">If at any time during treatment, the licensee observes patterns of unexpected results in the patient's urine drug screens or KASPER data, then the licensee shall:</w:t>
      </w:r>
    </w:p>
    <w:p>
      <w:pPr>
        <w:pStyle w:val="kar_clause"/>
      </w:pPr>
      <w:r>
        <w:t xml:space="preserve">a.</w:t>
      </w:r>
      <w:r>
        <w:t xml:space="preserve"> </w:t>
      </w:r>
      <w:r>
        <w:t xml:space="preserve">Refer the patient out to a higher level of care; or</w:t>
      </w:r>
    </w:p>
    <w:p>
      <w:pPr>
        <w:pStyle w:val="kar_clause"/>
      </w:pPr>
      <w:r>
        <w:t xml:space="preserve">b.</w:t>
      </w:r>
      <w:r>
        <w:t xml:space="preserve"> </w:t>
      </w:r>
      <w:r>
        <w:t xml:space="preserve">Increase the intensity of treatment and continue to monitor for unexpected urine drug screen results and KASPER data.</w:t>
      </w:r>
    </w:p>
    <w:p>
      <w:pPr>
        <w:pStyle w:val="kar_subparagraph"/>
      </w:pPr>
      <w:r>
        <w:t xml:space="preserve">7.</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 established in this administrative regulation.</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PEP21-01-002, Rockville, MD: Substance Abuse and Mental Health Services Administration, 2021.</w:t>
      </w:r>
    </w:p>
    <w:p>
      <w:pPr>
        <w:pStyle w:val="kar_section"/>
      </w:pPr>
      <w:r>
        <w:t xml:space="preserve">Section 5.</w:t>
      </w:r>
      <w:r>
        <w:t xml:space="preserve"> </w:t>
      </w:r>
      <w:r>
        <w:t xml:space="preserve">Violations. Failure to comply with or a violation of the professional standards established in 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PEP21-01-002", 2021, is incorporated by reference.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website at kbml.ky.gov.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eb8f96af634f74" /><Relationship Type="http://schemas.openxmlformats.org/officeDocument/2006/relationships/settings" Target="/word/settings.xml" Id="R088e74bde0804a38" /></Relationships>
</file>