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b31ffae7ac4e0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LICENSED DIABETES EDUCATORS</w:t>
      </w:r>
    </w:p>
    <w:p>
      <w:pPr>
        <w:pStyle w:val="kar_markup_header"/>
        <w:ind w:firstLine="0"/>
      </w:pPr>
      <w:r>
        <w:t>(Amendment)</w:t>
      </w:r>
    </w:p>
    <w:p>
      <w:pPr>
        <w:pStyle w:val="kar_citation"/>
      </w:pPr>
      <w:r>
        <w:t>201 KAR 45:130.</w:t>
      </w:r>
      <w:r>
        <w:t xml:space="preserve"> </w:t>
      </w:r>
      <w:r>
        <w:t xml:space="preserve">Continuing education.</w:t>
      </w:r>
    </w:p>
    <w:p>
      <w:pPr>
        <w:pStyle w:val="kar_markup_metadata"/>
      </w:pPr>
      <w:r>
        <w:t xml:space="preserve">RELATES TO: </w:t>
      </w:r>
      <w:r>
        <w:t xml:space="preserve">KRS 309.337, 309.339</w:t>
      </w:r>
    </w:p>
    <w:p>
      <w:pPr>
        <w:pStyle w:val="kar_markup_metadata"/>
      </w:pPr>
      <w:r>
        <w:t xml:space="preserve">STATUTORY AUTHORITY: </w:t>
      </w:r>
      <w:r>
        <w:t xml:space="preserve">KRS 309.331</w:t>
      </w:r>
    </w:p>
    <w:p>
      <w:pPr>
        <w:pStyle w:val="kar_markup_metadata"/>
      </w:pPr>
      <w:r>
        <w:t xml:space="preserve">NECESSITY, FUNCTION, AND CONFORMITY: </w:t>
      </w: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section"/>
      </w:pPr>
      <w:r>
        <w:t xml:space="preserve">Section 1.</w:t>
      </w:r>
      <w:r>
        <w:t xml:space="preserve"> </w:t>
      </w:r>
      <w:r>
        <w:t xml:space="preserve">Accrual of Continuing Education Hours.</w:t>
      </w:r>
    </w:p>
    <w:p>
      <w:pPr>
        <w:pStyle w:val="kar_subsection"/>
      </w:pPr>
      <w:r>
        <w:t xml:space="preserve">(1)</w:t>
      </w:r>
      <w:r>
        <w:t xml:space="preserve"> </w:t>
      </w:r>
      <w:r>
        <w:t xml:space="preserve"> </w:t>
      </w:r>
    </w:p>
    <w:p>
      <w:pPr>
        <w:pStyle w:val="kar_paragraph"/>
      </w:pPr>
      <w:r>
        <w:t xml:space="preserve">(a)</w:t>
      </w:r>
      <w:r>
        <w:t xml:space="preserve"> </w:t>
      </w:r>
      <w:r>
        <w:t xml:space="preserve">The annual continuing education accrual period shall be from November 1 of each year to October 31 of the next year.</w:t>
      </w:r>
    </w:p>
    <w:p>
      <w:pPr>
        <w:pStyle w:val="kar_paragraph"/>
      </w:pPr>
      <w:r>
        <w:t xml:space="preserve">(b)</w:t>
      </w:r>
      <w:r>
        <w:t xml:space="preserve"> </w:t>
      </w:r>
      <w:r>
        <w:t xml:space="preserve">Prior to renewal of a </w:t>
      </w:r>
      <w:r>
        <w:rPr>
          <w:u w:val="single"/>
        </w:rPr>
        <w:t xml:space="preserve">diabetes educator </w:t>
      </w:r>
      <w:r>
        <w:t xml:space="preserve">license or </w:t>
      </w:r>
      <w:r>
        <w:rPr>
          <w:u w:val="single"/>
        </w:rPr>
        <w:t xml:space="preserve">apprentice diabetes educator</w:t>
      </w:r>
      <w:r>
        <w:t xml:space="preserve"> permit for the next licensure period, a licensee or permit holder shall have earned at least fifteen (15) hours of approved continuing education.</w:t>
      </w:r>
    </w:p>
    <w:p>
      <w:pPr>
        <w:pStyle w:val="kar_subsection"/>
      </w:pPr>
      <w:r>
        <w:t xml:space="preserve">(2)</w:t>
      </w:r>
      <w:r>
        <w:t xml:space="preserve"> </w:t>
      </w:r>
      <w:r>
        <w:t xml:space="preserve">No more than fifteen (15) hours of continuing education shall be carried over into the next continuing education period.</w:t>
      </w:r>
    </w:p>
    <w:p>
      <w:pPr>
        <w:pStyle w:val="kar_subsection"/>
      </w:pPr>
      <w:r>
        <w:t xml:space="preserve">(3)</w:t>
      </w:r>
      <w:r>
        <w:t xml:space="preserve"> </w:t>
      </w:r>
      <w:r>
        <w:t xml:space="preserve">It shall be the responsibility of each licensee to finance the costs of continuing education.</w:t>
      </w:r>
    </w:p>
    <w:p>
      <w:pPr>
        <w:pStyle w:val="kar_section"/>
      </w:pPr>
      <w:r>
        <w:t xml:space="preserve">Section 2.</w:t>
      </w:r>
      <w:r>
        <w:t xml:space="preserve"> </w:t>
      </w:r>
      <w:r>
        <w:t xml:space="preserve">Methods of Acquiring Continuing Education Hours.</w:t>
      </w:r>
    </w:p>
    <w:p>
      <w:pPr>
        <w:pStyle w:val="kar_subsection"/>
      </w:pPr>
      <w:r>
        <w:t xml:space="preserve">(1)</w:t>
      </w:r>
      <w:r>
        <w:t xml:space="preserve"> </w:t>
      </w:r>
      <w:r>
        <w:t xml:space="preserve">Continuing education hours for license or permit renewal shall have a substantial emphasis on diabetes and be presented at a professional level that enhances the quality and effectiveness of diabetes self-management education.</w:t>
      </w:r>
    </w:p>
    <w:p>
      <w:pPr>
        <w:pStyle w:val="kar_subsection"/>
      </w:pPr>
      <w:r>
        <w:t xml:space="preserve">(2)</w:t>
      </w:r>
      <w:r>
        <w:t xml:space="preserve"> </w:t>
      </w:r>
      <w:r>
        <w:t xml:space="preserve">A licensee or permit holder shall obtain continuing education courses from any of the following continuing education providers or programs approved by the providers:</w:t>
      </w:r>
    </w:p>
    <w:p>
      <w:pPr>
        <w:pStyle w:val="kar_paragraph"/>
      </w:pPr>
      <w:r>
        <w:t xml:space="preserve">(a)</w:t>
      </w:r>
      <w:r>
        <w:t xml:space="preserve"> </w:t>
      </w:r>
      <w:r>
        <w:t xml:space="preserve">American Association of Diabetes Educators (AADE);</w:t>
      </w:r>
    </w:p>
    <w:p>
      <w:pPr>
        <w:pStyle w:val="kar_paragraph"/>
      </w:pPr>
      <w:r>
        <w:t xml:space="preserve">(b)</w:t>
      </w:r>
      <w:r>
        <w:t xml:space="preserve"> </w:t>
      </w:r>
      <w:r>
        <w:t xml:space="preserve">American Diabetes Association (ADA);</w:t>
      </w:r>
    </w:p>
    <w:p>
      <w:pPr>
        <w:pStyle w:val="kar_paragraph"/>
      </w:pPr>
      <w:r>
        <w:t xml:space="preserve">(c)</w:t>
      </w:r>
      <w:r>
        <w:t xml:space="preserve"> </w:t>
      </w:r>
      <w:r>
        <w:t xml:space="preserve">Academy of Nutrition and Dietetics (AND);</w:t>
      </w:r>
    </w:p>
    <w:p>
      <w:pPr>
        <w:pStyle w:val="kar_paragraph"/>
      </w:pPr>
      <w:r>
        <w:t xml:space="preserve">(d)</w:t>
      </w:r>
      <w:r>
        <w:t xml:space="preserve"> </w:t>
      </w:r>
      <w:r>
        <w:t xml:space="preserve">Accreditation Council for Pharmacy Education (ACPE);</w:t>
      </w:r>
    </w:p>
    <w:p>
      <w:pPr>
        <w:pStyle w:val="kar_paragraph"/>
      </w:pPr>
      <w:r>
        <w:t xml:space="preserve">(e)</w:t>
      </w:r>
      <w:r>
        <w:t xml:space="preserve"> </w:t>
      </w:r>
      <w:r>
        <w:t xml:space="preserve">Accreditation Council for Continuing Medical Education (ACCME-AMA);</w:t>
      </w:r>
    </w:p>
    <w:p>
      <w:pPr>
        <w:pStyle w:val="kar_paragraph"/>
      </w:pPr>
      <w:r>
        <w:t xml:space="preserve">(f)</w:t>
      </w:r>
      <w:r>
        <w:t xml:space="preserve"> </w:t>
      </w:r>
      <w:r>
        <w:t xml:space="preserve">American Nurses Credentialing Center (ANCC);</w:t>
      </w:r>
    </w:p>
    <w:p>
      <w:pPr>
        <w:pStyle w:val="kar_paragraph"/>
      </w:pPr>
      <w:r>
        <w:t xml:space="preserve">(g)</w:t>
      </w:r>
      <w:r>
        <w:t xml:space="preserve"> </w:t>
      </w:r>
      <w:r>
        <w:t xml:space="preserve">American Academy of Family Physicians (AAFP);</w:t>
      </w:r>
    </w:p>
    <w:p>
      <w:pPr>
        <w:pStyle w:val="kar_paragraph"/>
      </w:pPr>
      <w:r>
        <w:t xml:space="preserve">(h)</w:t>
      </w:r>
      <w:r>
        <w:t xml:space="preserve"> </w:t>
      </w:r>
      <w:r>
        <w:t xml:space="preserve">American Academy of Nurse Practitioners (AANP);</w:t>
      </w:r>
    </w:p>
    <w:p>
      <w:pPr>
        <w:pStyle w:val="kar_paragraph"/>
      </w:pPr>
      <w:r>
        <w:t xml:space="preserve">(i)</w:t>
      </w:r>
      <w:r>
        <w:t xml:space="preserve"> </w:t>
      </w:r>
      <w:r>
        <w:t xml:space="preserve">American Academy of Optometry (AAO);</w:t>
      </w:r>
    </w:p>
    <w:p>
      <w:pPr>
        <w:pStyle w:val="kar_paragraph"/>
      </w:pPr>
      <w:r>
        <w:t xml:space="preserve">(j)</w:t>
      </w:r>
      <w:r>
        <w:t xml:space="preserve"> </w:t>
      </w:r>
      <w:r>
        <w:t xml:space="preserve">American Academy of Physician Assistants (AAPA);</w:t>
      </w:r>
    </w:p>
    <w:p>
      <w:pPr>
        <w:pStyle w:val="kar_paragraph"/>
      </w:pPr>
      <w:r>
        <w:t xml:space="preserve">(k)</w:t>
      </w:r>
      <w:r>
        <w:t xml:space="preserve"> </w:t>
      </w:r>
      <w:r>
        <w:t xml:space="preserve">American Association of Clinical Endocrinologists (AACE);</w:t>
      </w:r>
    </w:p>
    <w:p>
      <w:pPr>
        <w:pStyle w:val="kar_paragraph"/>
      </w:pPr>
      <w:r>
        <w:t xml:space="preserve">(l)</w:t>
      </w:r>
      <w:r>
        <w:t xml:space="preserve"> </w:t>
      </w:r>
      <w:r>
        <w:t xml:space="preserve">American College of Endocrinology (ACE);</w:t>
      </w:r>
    </w:p>
    <w:p>
      <w:pPr>
        <w:pStyle w:val="kar_paragraph"/>
      </w:pPr>
      <w:r>
        <w:t xml:space="preserve">(m)</w:t>
      </w:r>
      <w:r>
        <w:t xml:space="preserve"> </w:t>
      </w:r>
      <w:r>
        <w:t xml:space="preserve">American College of Sports Medicine (ACSM);</w:t>
      </w:r>
    </w:p>
    <w:p>
      <w:pPr>
        <w:pStyle w:val="kar_paragraph"/>
      </w:pPr>
      <w:r>
        <w:t xml:space="preserve">(n)</w:t>
      </w:r>
      <w:r>
        <w:t xml:space="preserve"> </w:t>
      </w:r>
      <w:r>
        <w:t xml:space="preserve">American Medical Association (AMA) or its Kentucky affiliate;</w:t>
      </w:r>
    </w:p>
    <w:p>
      <w:pPr>
        <w:pStyle w:val="kar_paragraph"/>
      </w:pPr>
      <w:r>
        <w:t xml:space="preserve">(o)</w:t>
      </w:r>
      <w:r>
        <w:t xml:space="preserve"> </w:t>
      </w:r>
      <w:r>
        <w:t xml:space="preserve">American Nurses Association (ANA);</w:t>
      </w:r>
    </w:p>
    <w:p>
      <w:pPr>
        <w:pStyle w:val="kar_paragraph"/>
      </w:pPr>
      <w:r>
        <w:t xml:space="preserve">(p)</w:t>
      </w:r>
      <w:r>
        <w:t xml:space="preserve"> </w:t>
      </w:r>
      <w:r>
        <w:t xml:space="preserve">American Occupational Therapy Association (AOTA);</w:t>
      </w:r>
    </w:p>
    <w:p>
      <w:pPr>
        <w:pStyle w:val="kar_paragraph"/>
      </w:pPr>
      <w:r>
        <w:t xml:space="preserve">(q)</w:t>
      </w:r>
      <w:r>
        <w:t xml:space="preserve"> </w:t>
      </w:r>
      <w:r>
        <w:t xml:space="preserve">American Physical Therapy Association (APTA);</w:t>
      </w:r>
    </w:p>
    <w:p>
      <w:pPr>
        <w:pStyle w:val="kar_paragraph"/>
      </w:pPr>
      <w:r>
        <w:t xml:space="preserve">(r)</w:t>
      </w:r>
      <w:r>
        <w:t xml:space="preserve"> </w:t>
      </w:r>
      <w:r>
        <w:t xml:space="preserve">American Psychological Association (APA);</w:t>
      </w:r>
    </w:p>
    <w:p>
      <w:pPr>
        <w:pStyle w:val="kar_paragraph"/>
      </w:pPr>
      <w:r>
        <w:t xml:space="preserve">(s)</w:t>
      </w:r>
      <w:r>
        <w:t xml:space="preserve"> </w:t>
      </w:r>
      <w:r>
        <w:t xml:space="preserve">Commission on Dietetic Registration (CDR);</w:t>
      </w:r>
    </w:p>
    <w:p>
      <w:pPr>
        <w:pStyle w:val="kar_paragraph"/>
      </w:pPr>
      <w:r>
        <w:t xml:space="preserve">(t)</w:t>
      </w:r>
      <w:r>
        <w:t xml:space="preserve"> </w:t>
      </w:r>
      <w:r>
        <w:t xml:space="preserve">Council on Continuing Medical Education (CCME-AOA);</w:t>
      </w:r>
    </w:p>
    <w:p>
      <w:pPr>
        <w:pStyle w:val="kar_paragraph"/>
      </w:pPr>
      <w:r>
        <w:t xml:space="preserve">(u)</w:t>
      </w:r>
      <w:r>
        <w:t xml:space="preserve"> </w:t>
      </w:r>
      <w:r>
        <w:t xml:space="preserve">Council on Podiatric Medical Education (CPME-APMA);</w:t>
      </w:r>
    </w:p>
    <w:p>
      <w:pPr>
        <w:pStyle w:val="kar_paragraph"/>
      </w:pPr>
      <w:r>
        <w:t xml:space="preserve">(v)</w:t>
      </w:r>
      <w:r>
        <w:t xml:space="preserve"> </w:t>
      </w:r>
      <w:r>
        <w:t xml:space="preserve">International Diabetes Federation (IDF);</w:t>
      </w:r>
    </w:p>
    <w:p>
      <w:pPr>
        <w:pStyle w:val="kar_paragraph"/>
      </w:pPr>
      <w:r>
        <w:t xml:space="preserve">(w)</w:t>
      </w:r>
      <w:r>
        <w:t xml:space="preserve"> </w:t>
      </w:r>
      <w:r>
        <w:t xml:space="preserve">National Association of Clinical Nurse Specialists (NACNS);</w:t>
      </w:r>
    </w:p>
    <w:p>
      <w:pPr>
        <w:pStyle w:val="kar_paragraph"/>
      </w:pPr>
      <w:r>
        <w:t xml:space="preserve">(x)</w:t>
      </w:r>
      <w:r>
        <w:t xml:space="preserve"> </w:t>
      </w:r>
      <w:r>
        <w:t xml:space="preserve">National Association of Social Workers (NASW);</w:t>
      </w:r>
    </w:p>
    <w:p>
      <w:pPr>
        <w:pStyle w:val="kar_paragraph"/>
      </w:pPr>
      <w:r>
        <w:t xml:space="preserve">(y)</w:t>
      </w:r>
      <w:r>
        <w:t xml:space="preserve"> </w:t>
      </w:r>
      <w:r>
        <w:t xml:space="preserve">Kentucky Board of Nursing (KBN);</w:t>
      </w:r>
    </w:p>
    <w:p>
      <w:pPr>
        <w:pStyle w:val="kar_paragraph"/>
      </w:pPr>
      <w:r>
        <w:t xml:space="preserve">(z)</w:t>
      </w:r>
      <w:r>
        <w:t xml:space="preserve"> </w:t>
      </w:r>
      <w:r>
        <w:t xml:space="preserve">Kentucky Board of Pharmacy;</w:t>
      </w:r>
    </w:p>
    <w:p>
      <w:pPr>
        <w:pStyle w:val="kar_paragraph"/>
      </w:pPr>
      <w:r>
        <w:t xml:space="preserve">(aa)</w:t>
      </w:r>
      <w:r>
        <w:t xml:space="preserve"> </w:t>
      </w:r>
      <w:r>
        <w:t xml:space="preserve">Kentucky Board of Medical Licensure; or</w:t>
      </w:r>
    </w:p>
    <w:p>
      <w:pPr>
        <w:pStyle w:val="kar_paragraph"/>
      </w:pPr>
      <w:r>
        <w:t xml:space="preserve">(bb)</w:t>
      </w:r>
      <w:r>
        <w:t xml:space="preserve"> </w:t>
      </w:r>
      <w:r>
        <w:t xml:space="preserve">Kentucky Nurses Association (KNA).</w:t>
      </w:r>
    </w:p>
    <w:p>
      <w:pPr>
        <w:pStyle w:val="kar_section"/>
      </w:pPr>
      <w:r>
        <w:t xml:space="preserve">Section 3.</w:t>
      </w:r>
      <w:r>
        <w:t xml:space="preserve"> </w:t>
      </w:r>
      <w:r>
        <w:t xml:space="preserve">Recordkeeping of Continuing Education Hours.</w:t>
      </w:r>
    </w:p>
    <w:p>
      <w:pPr>
        <w:pStyle w:val="kar_subsection"/>
      </w:pPr>
      <w:r>
        <w:t xml:space="preserve">(1)</w:t>
      </w:r>
      <w:r>
        <w:t xml:space="preserve"> </w:t>
      </w:r>
      <w:r>
        <w:t xml:space="preserve">A licensee or permit holder shall maintain a record of all continuing education courses attended for at least two (2) years after attending the course.</w:t>
      </w:r>
    </w:p>
    <w:p>
      <w:pPr>
        <w:pStyle w:val="kar_subsection"/>
      </w:pPr>
      <w:r>
        <w:t xml:space="preserve">(2)</w:t>
      </w:r>
      <w:r>
        <w:t xml:space="preserve"> </w:t>
      </w:r>
      <w:r>
        <w:t xml:space="preserve">Appropriate documentation to be kept shall include:</w:t>
      </w:r>
    </w:p>
    <w:p>
      <w:pPr>
        <w:pStyle w:val="kar_paragraph"/>
      </w:pPr>
      <w:r>
        <w:t xml:space="preserve">(a)</w:t>
      </w:r>
      <w:r>
        <w:t xml:space="preserve"> </w:t>
      </w:r>
      <w:r>
        <w:t xml:space="preserve">Proof of attendance;</w:t>
      </w:r>
    </w:p>
    <w:p>
      <w:pPr>
        <w:pStyle w:val="kar_paragraph"/>
      </w:pPr>
      <w:r>
        <w:t xml:space="preserve">(b)</w:t>
      </w:r>
      <w:r>
        <w:t xml:space="preserve"> </w:t>
      </w:r>
      <w:r>
        <w:t xml:space="preserve">Date of activity;</w:t>
      </w:r>
    </w:p>
    <w:p>
      <w:pPr>
        <w:pStyle w:val="kar_paragraph"/>
      </w:pPr>
      <w:r>
        <w:t xml:space="preserve">(c)</w:t>
      </w:r>
      <w:r>
        <w:t xml:space="preserve"> </w:t>
      </w:r>
      <w:r>
        <w:t xml:space="preserve">Description of activity;</w:t>
      </w:r>
    </w:p>
    <w:p>
      <w:pPr>
        <w:pStyle w:val="kar_paragraph"/>
      </w:pPr>
      <w:r>
        <w:t xml:space="preserve">(d)</w:t>
      </w:r>
      <w:r>
        <w:t xml:space="preserve"> </w:t>
      </w:r>
      <w:r>
        <w:t xml:space="preserve">Total hours of instruction, excluding breaks; and</w:t>
      </w:r>
    </w:p>
    <w:p>
      <w:pPr>
        <w:pStyle w:val="kar_paragraph"/>
      </w:pPr>
      <w:r>
        <w:t xml:space="preserve">(e)</w:t>
      </w:r>
      <w:r>
        <w:t xml:space="preserve"> </w:t>
      </w:r>
      <w:r>
        <w:rPr>
          <w:u w:val="single"/>
        </w:rPr>
        <w:t xml:space="preserve">The name of the continuing education provider or program approved by the providers listed in Section 2.(2) above.</w:t>
      </w:r>
      <w:r>
        <w:t>[</w:t>
      </w:r>
      <w:r>
        <w:rPr>
          <w:strike w:val="true"/>
        </w:rPr>
        <w:t xml:space="preserve">Names and professional qualifications of the presenters.</w:t>
      </w:r>
      <w:r>
        <w:t>]</w:t>
      </w:r>
    </w:p>
    <w:p>
      <w:pPr>
        <w:pStyle w:val="kar_subsection"/>
      </w:pPr>
      <w:r>
        <w:t xml:space="preserve">(3)</w:t>
      </w:r>
      <w:r>
        <w:t xml:space="preserve"> </w:t>
      </w:r>
      <w:r>
        <w:t xml:space="preserve"> </w:t>
      </w:r>
    </w:p>
    <w:p>
      <w:pPr>
        <w:pStyle w:val="kar_paragraph"/>
      </w:pPr>
      <w:r>
        <w:t xml:space="preserve">(a)</w:t>
      </w:r>
      <w:r>
        <w:t xml:space="preserve"> </w:t>
      </w:r>
      <w:r>
        <w:t xml:space="preserve">Each licensee or permit holder shall sign a statement on the Renewal Application form incorporated by reference in 201 KAR 45:120, indicating compliance with the continuing education requirements.</w:t>
      </w:r>
    </w:p>
    <w:p>
      <w:pPr>
        <w:pStyle w:val="kar_paragraph"/>
      </w:pPr>
      <w:r>
        <w:t xml:space="preserve">(b)</w:t>
      </w:r>
      <w:r>
        <w:t xml:space="preserve"> </w:t>
      </w:r>
      <w:r>
        <w:t xml:space="preserve">A license or permit shall not be renewed without the licensee signing this sworn statement.</w:t>
      </w:r>
    </w:p>
    <w:p>
      <w:pPr>
        <w:pStyle w:val="kar_section"/>
      </w:pPr>
      <w:r>
        <w:t xml:space="preserve">Section 4.</w:t>
      </w:r>
      <w:r>
        <w:t xml:space="preserve"> </w:t>
      </w:r>
      <w:r>
        <w:t xml:space="preserve">Reconsideration.</w:t>
      </w:r>
    </w:p>
    <w:p>
      <w:pPr>
        <w:pStyle w:val="kar_subsection"/>
      </w:pPr>
      <w:r>
        <w:t xml:space="preserve">(1)</w:t>
      </w:r>
      <w:r>
        <w:t xml:space="preserve"> </w:t>
      </w:r>
      <w:r>
        <w:t xml:space="preserve">A licensee or permit holder may request the board to reconsider its denial of a continuing education course. The request shall be filed with the board in writing.</w:t>
      </w:r>
    </w:p>
    <w:p>
      <w:pPr>
        <w:pStyle w:val="kar_subsection"/>
      </w:pPr>
      <w:r>
        <w:t xml:space="preserve">(2)</w:t>
      </w:r>
      <w:r>
        <w:t xml:space="preserve"> </w:t>
      </w:r>
      <w:r>
        <w:t xml:space="preserve"> </w:t>
      </w:r>
    </w:p>
    <w:p>
      <w:pPr>
        <w:pStyle w:val="kar_paragraph"/>
      </w:pPr>
      <w:r>
        <w:t xml:space="preserve">(a)</w:t>
      </w:r>
      <w:r>
        <w:t xml:space="preserve"> </w:t>
      </w:r>
      <w:r>
        <w:t xml:space="preserve">A licensee or permit holder shall file the request for reconsideration pursuant to KRS Chapter 13B within thirty (30) calendar days of notification of the denial.</w:t>
      </w:r>
    </w:p>
    <w:p>
      <w:pPr>
        <w:pStyle w:val="kar_paragraph"/>
      </w:pPr>
      <w:r>
        <w:t xml:space="preserve">(b)</w:t>
      </w:r>
      <w:r>
        <w:t xml:space="preserve"> </w:t>
      </w:r>
      <w:r>
        <w:t xml:space="preserve">The request will be reviewed by the board at its next regularly scheduled meeting.</w:t>
      </w:r>
    </w:p>
    <w:p>
      <w:pPr>
        <w:pStyle w:val="kar_section"/>
      </w:pPr>
      <w:r>
        <w:t xml:space="preserve">Section 5.</w:t>
      </w:r>
      <w:r>
        <w:t xml:space="preserve"> </w:t>
      </w:r>
      <w:r>
        <w:t xml:space="preserve">Auditing of Continuing Education.</w:t>
      </w:r>
    </w:p>
    <w:p>
      <w:pPr>
        <w:pStyle w:val="kar_subsection"/>
      </w:pPr>
      <w:r>
        <w:t xml:space="preserve">(1)</w:t>
      </w:r>
      <w:r>
        <w:t xml:space="preserve"> </w:t>
      </w:r>
      <w:r>
        <w:t xml:space="preserve">During the annual renewal period, the board shall conduct a random audit of up to fifteen (15) percent of current licensees and permit holders.</w:t>
      </w:r>
    </w:p>
    <w:p>
      <w:pPr>
        <w:pStyle w:val="kar_subsection"/>
      </w:pPr>
      <w:r>
        <w:t xml:space="preserve">(2)</w:t>
      </w:r>
      <w:r>
        <w:t xml:space="preserve"> </w:t>
      </w:r>
      <w:r>
        <w:t xml:space="preserve">Each licensee or permit holder selected for audit shall submit documentation of completion of continuing education units from the current license year to the board no later than the end of the current license period.</w:t>
      </w:r>
    </w:p>
    <w:p>
      <w:pPr>
        <w:pStyle w:val="kar_subsection"/>
      </w:pPr>
      <w:r>
        <w:t xml:space="preserve">(3)</w:t>
      </w:r>
      <w:r>
        <w:t xml:space="preserve"> </w:t>
      </w:r>
      <w:r>
        <w:t xml:space="preserve">A licensee or permit holder who fails to comply with the audit request or the continuing education requirements shall be subject to disciplinary action.</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Education Professional Standards,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continuing education requirements for diabetes educators</w:t>
      </w:r>
    </w:p>
    <w:p>
      <w:pPr>
        <w:pStyle w:val="kar_normal"/>
        <w:ind w:left="576"/>
      </w:pPr>
      <w:r>
        <w:t xml:space="preserve">(b) The necessity of this administrative regulation:</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309.331 to regulate the practice of diabetes education and promulgate regulations regarding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309.337 requires licensees to provide documentation of the successful completion of board-approved continuing education credits and that waivers and extensions of continuing education may be approved at the discretion of the board. KRS 309.331(1) requires the board to promulgate administrative regulations establishing continuing education requirements. This administrative regulation establishes continuing education requirements for licensed diabetes educators.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continuing education is required for a licensed diabetes educator and a diabetes educator apprentice and removes the requirement for the name of a presenter as part of the documentation that must be kept by the credential holder.</w:t>
      </w:r>
    </w:p>
    <w:p>
      <w:pPr>
        <w:pStyle w:val="kar_normal"/>
        <w:ind w:left="576"/>
      </w:pPr>
      <w:r>
        <w:t xml:space="preserve">(b) The necessity of the amendment to this administrative regulation:</w:t>
      </w:r>
    </w:p>
    <w:p>
      <w:pPr>
        <w:pStyle w:val="kar_normal"/>
        <w:ind w:left="720"/>
      </w:pPr>
      <w:r>
        <w:t xml:space="preserve">The amendment is necessary to clarify the continuing education requirements for all credential holders and to remove the requirement for name of presenter since it is not needed if the continuing education was through a board-approved provider or program.</w:t>
      </w:r>
    </w:p>
    <w:p>
      <w:pPr>
        <w:pStyle w:val="kar_normal"/>
        <w:ind w:left="576"/>
      </w:pPr>
      <w:r>
        <w:t xml:space="preserve">(c) How the amendment conforms to the content of the authorizing statutes:</w:t>
      </w:r>
    </w:p>
    <w:p>
      <w:pPr>
        <w:pStyle w:val="kar_normal"/>
        <w:ind w:left="720"/>
      </w:pPr>
      <w:r>
        <w:t xml:space="preserve">The amendment conforms to the content of KRS 309.331(1) through the board’s promulgation of administrative regulations to carry out and clarify continuing education requirements for licensed diabetes educators and apprentices.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clarifying the continuing education requirements for all credential holders and relieving the credential holder of maintaining the name of a presenter for a program that was pre-approved by the board.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Public Protection Cabinet, the Board of Diabetes Educators, and its licensees and permit holders. There are currently 244 licensees and permit holders and 2 inactive credential holders.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new actions the regulated entities will have to take to comply with this amendment as the regulation already requires continuing education.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regulated entities currently pay for continuing education so there are no new costs to the regulated entities as a result of compliance with this amendment.</w:t>
      </w:r>
    </w:p>
    <w:p>
      <w:pPr>
        <w:pStyle w:val="kar_normal"/>
        <w:ind w:left="576"/>
      </w:pPr>
      <w:r>
        <w:t xml:space="preserve">(c) As a result of compliance, what benefits will accrue to the entities identified in question (4):</w:t>
      </w:r>
    </w:p>
    <w:p>
      <w:pPr>
        <w:pStyle w:val="kar_normal"/>
        <w:ind w:left="720"/>
      </w:pPr>
      <w:r>
        <w:t xml:space="preserve">There will be clarification that all regulated entities are required to have continuing education and that programs for approval must list the name of the presenter and what approved provider the presenter is affiliated with.</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new costs initially.</w:t>
      </w:r>
    </w:p>
    <w:p>
      <w:pPr>
        <w:pStyle w:val="kar_normal"/>
        <w:ind w:left="576"/>
      </w:pPr>
      <w:r>
        <w:t xml:space="preserve">(b) On a continuing basis:</w:t>
      </w:r>
    </w:p>
    <w:p>
      <w:pPr>
        <w:pStyle w:val="kar_normal"/>
        <w:ind w:left="720"/>
      </w:pPr>
      <w:r>
        <w:t xml:space="preserve">There are no new costs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 Board funding comprised of fees for licensing, renewal and reinstatement will be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(10)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309.331 and 309.337, 201 KAR 45:130.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309.331(1) as created by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Board of Diabetes Educators.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are expected to be generated by the provisions of this administrative regulation.</w:t>
      </w:r>
    </w:p>
    <w:p>
      <w:pPr>
        <w:pStyle w:val="kar_normal"/>
        <w:ind w:left="864"/>
      </w:pPr>
      <w:r>
        <w:t xml:space="preserve">For subsequent years:</w:t>
      </w:r>
      <w:r>
        <w:t xml:space="preserve"> No expenditures are expected to be generated by the provisions of this administrative regulation.</w:t>
      </w:r>
    </w:p>
    <w:p>
      <w:pPr>
        <w:pStyle w:val="kar_normal"/>
        <w:ind w:left="576"/>
      </w:pPr>
      <w:r>
        <w:t xml:space="preserve">2. Revenues:</w:t>
      </w:r>
    </w:p>
    <w:p>
      <w:pPr>
        <w:pStyle w:val="kar_normal"/>
        <w:ind w:left="864"/>
      </w:pPr>
      <w:r>
        <w:t xml:space="preserve">For the first year:</w:t>
      </w:r>
      <w:r>
        <w:t xml:space="preserve"> No revenues are expected to be generated by the provisions of this administrative regulation.</w:t>
      </w:r>
    </w:p>
    <w:p>
      <w:pPr>
        <w:pStyle w:val="kar_normal"/>
        <w:ind w:left="864"/>
      </w:pPr>
      <w:r>
        <w:t xml:space="preserve">For subsequent years:</w:t>
      </w:r>
      <w:r>
        <w:t xml:space="preserve"> No revenues are expected to be generated by the provisions of this administrative regulation.</w:t>
      </w:r>
    </w:p>
    <w:p>
      <w:pPr>
        <w:pStyle w:val="kar_normal"/>
        <w:ind w:left="576"/>
      </w:pPr>
      <w:r>
        <w:t xml:space="preserve">3. Cost Savings:</w:t>
      </w:r>
    </w:p>
    <w:p>
      <w:pPr>
        <w:pStyle w:val="kar_normal"/>
        <w:ind w:left="864"/>
      </w:pPr>
      <w:r>
        <w:t xml:space="preserve">For the first year:</w:t>
      </w:r>
      <w:r>
        <w:t xml:space="preserve"> No cost savings are expected by the provisions of this administrative regulation.</w:t>
      </w:r>
    </w:p>
    <w:p>
      <w:pPr>
        <w:pStyle w:val="kar_normal"/>
        <w:ind w:left="864"/>
      </w:pPr>
      <w:r>
        <w:t xml:space="preserve">For subsequent years:</w:t>
      </w:r>
      <w:r>
        <w:t xml:space="preserve"> No cost savings are expected by the provisions of this administrative regulation.</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anticipated. </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anticipated fiscal impact to this administrative regulation.</w:t>
      </w:r>
    </w:p>
    <w:p>
      <w:pPr>
        <w:pStyle w:val="kar_normal"/>
        <w:ind w:left="288"/>
      </w:pPr>
      <w:r>
        <w:t xml:space="preserve">(b) Methodology and resources used to reach this conclusion:</w:t>
      </w:r>
    </w:p>
    <w:p>
      <w:pPr>
        <w:pStyle w:val="kar_normal"/>
        <w:ind w:left="432"/>
      </w:pPr>
      <w:r>
        <w:t xml:space="preserve">Methodology and resources was a review of the existing budget by the board’s fiscal administrator as well as consideration of the amendment and whether staff time and costs will be increased.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 to the entities identified.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b540721b04aae" /><Relationship Type="http://schemas.openxmlformats.org/officeDocument/2006/relationships/settings" Target="/word/settings.xml" Id="Rbdf80d9a900d44cb" /></Relationships>
</file>