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75f27f0fa1450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(Amendment)</w:t>
      </w:r>
    </w:p>
    <w:p>
      <w:pPr>
        <w:pStyle w:val="kar_citation"/>
      </w:pPr>
      <w:r>
        <w:t>201 KAR 45:150.</w:t>
      </w:r>
      <w:r>
        <w:t xml:space="preserve"> </w:t>
      </w:r>
      <w:r>
        <w:t xml:space="preserve">Complaint procedures.</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309.330 to 309.339. This administrative regulation provides for the complaint procedures to be used by the board in the enforcement of those statutes and administrative regulations promulgated thereunder.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309.325(1).</w:t>
      </w:r>
    </w:p>
    <w:p>
      <w:pPr>
        <w:pStyle w:val="kar_subsection"/>
      </w:pPr>
      <w:r>
        <w:t xml:space="preserve">(2)</w:t>
      </w:r>
      <w:r>
        <w:t xml:space="preserve"> </w:t>
      </w:r>
      <w:r>
        <w:t xml:space="preserve">"Charge" means a specific allegation contained in any document issued by the board alleging a violation of a specified provision of KRS 309.325 through 309.339.</w:t>
      </w:r>
    </w:p>
    <w:p>
      <w:pPr>
        <w:pStyle w:val="kar_subsection"/>
      </w:pPr>
      <w:r>
        <w:t xml:space="preserve">(3)</w:t>
      </w:r>
      <w:r>
        <w:t xml:space="preserve"> </w:t>
      </w:r>
      <w:r>
        <w:t xml:space="preserve">"Complaint" means a written complaint alleging a violation of KRS 309.325 through 309.339.</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"Formal complaint" means a formal administrative pleading authorized by the board that establishes a charge against a licensee or applicant and commences a formal disciplinary proceeding pursuant to KRS Chapter 13B.</w:t>
      </w:r>
    </w:p>
    <w:p>
      <w:pPr>
        <w:pStyle w:val="kar_section"/>
      </w:pPr>
      <w:r>
        <w:t xml:space="preserve">Section 2.</w:t>
      </w:r>
      <w:r>
        <w:t xml:space="preserve"> </w:t>
      </w:r>
      <w:r>
        <w:t xml:space="preserve">Complaints. A complaint:</w:t>
      </w:r>
    </w:p>
    <w:p>
      <w:pPr>
        <w:pStyle w:val="kar_subsection"/>
      </w:pPr>
      <w:r>
        <w:t xml:space="preserve">(1)</w:t>
      </w:r>
      <w:r>
        <w:t xml:space="preserve"> </w:t>
      </w:r>
      <w:r>
        <w:t xml:space="preserve">Shall be submitted by completing a "Complaint Form", Form </w:t>
      </w:r>
      <w:r>
        <w:rPr>
          <w:u w:val="single"/>
        </w:rPr>
        <w:t xml:space="preserve">DPL-BDE-07, July 2025</w:t>
      </w:r>
      <w:r>
        <w:t>[</w:t>
      </w:r>
      <w:r>
        <w:rPr>
          <w:strike w:val="true"/>
        </w:rPr>
        <w:t xml:space="preserve">DE-06</w:t>
      </w:r>
      <w:r>
        <w:t>]</w:t>
      </w:r>
      <w:r>
        <w:t xml:space="preserve"> and signed by the person offering the complaint; or</w:t>
      </w:r>
    </w:p>
    <w:p>
      <w:pPr>
        <w:pStyle w:val="kar_subsection"/>
      </w:pPr>
      <w:r>
        <w:t xml:space="preserve">(2)</w:t>
      </w:r>
      <w:r>
        <w:t xml:space="preserve"> </w:t>
      </w:r>
      <w:r>
        <w:t xml:space="preserve">May be filed by the board based upon information in its possession.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copy of the complaint shall be mailed to the individual named in the complaint along with a request for that individual's response to the complaint.</w:t>
      </w:r>
    </w:p>
    <w:p>
      <w:pPr>
        <w:pStyle w:val="kar_subsection"/>
      </w:pPr>
      <w:r>
        <w:t xml:space="preserve">(2)</w:t>
      </w:r>
      <w:r>
        <w:t xml:space="preserve"> </w:t>
      </w:r>
      <w:r>
        <w:t xml:space="preserve">The individual shall be allowed a period of twenty (20) days from the date of receipt to submit a written response to the board.</w:t>
      </w:r>
    </w:p>
    <w:p>
      <w:pPr>
        <w:pStyle w:val="kar_subsection"/>
      </w:pPr>
      <w:r>
        <w:t xml:space="preserve">(3)</w:t>
      </w:r>
      <w:r>
        <w:t xml:space="preserve"> </w:t>
      </w:r>
      <w:r>
        <w:t xml:space="preserve">Upon receipt of the written response of the individual named in the complaint, a copy of the response shall be sent to the complainant.</w:t>
      </w:r>
    </w:p>
    <w:p>
      <w:pPr>
        <w:pStyle w:val="kar_subsection"/>
      </w:pPr>
      <w:r>
        <w:t xml:space="preserve">(4)</w:t>
      </w:r>
      <w:r>
        <w:t xml:space="preserve"> </w:t>
      </w:r>
      <w:r>
        <w:t xml:space="preserve">The complainant shall have seven (7) days from receipt to submit a written reply to the response to the board.</w:t>
      </w:r>
    </w:p>
    <w:p>
      <w:pPr>
        <w:pStyle w:val="kar_section"/>
      </w:pPr>
      <w:r>
        <w:t xml:space="preserve">Section 4.</w:t>
      </w:r>
      <w:r>
        <w:t xml:space="preserve"> </w:t>
      </w:r>
      <w:r>
        <w:t xml:space="preserve">Initial Review.</w:t>
      </w:r>
    </w:p>
    <w:p>
      <w:pPr>
        <w:pStyle w:val="kar_subsection"/>
      </w:pPr>
      <w:r>
        <w:t xml:space="preserve">(1)</w:t>
      </w:r>
      <w:r>
        <w:t xml:space="preserve"> </w:t>
      </w:r>
      <w:r>
        <w:t xml:space="preserve"> </w:t>
      </w:r>
    </w:p>
    <w:p>
      <w:pPr>
        <w:pStyle w:val="kar_paragraph"/>
      </w:pPr>
      <w:r>
        <w:t xml:space="preserve">(a)</w:t>
      </w:r>
      <w:r>
        <w:t xml:space="preserve"> </w:t>
      </w:r>
      <w:r>
        <w:t xml:space="preserve">After the receipt of the complaint and the expiration of the period for the individual response, the board shall consider the individual's response, complainant's reply to the response, and any relevant material available.</w:t>
      </w:r>
    </w:p>
    <w:p>
      <w:pPr>
        <w:pStyle w:val="kar_paragraph"/>
      </w:pPr>
      <w:r>
        <w:t xml:space="preserve">(b)</w:t>
      </w:r>
      <w:r>
        <w:t xml:space="preserve"> </w:t>
      </w:r>
      <w:r>
        <w:t xml:space="preserve">The names of the individuals and other identifying information shall be redacted to provide anonymity.</w:t>
      </w:r>
    </w:p>
    <w:p>
      <w:pPr>
        <w:pStyle w:val="kar_paragraph"/>
      </w:pPr>
      <w:r>
        <w:t xml:space="preserve">(c)</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 conduct a formal investigation into the matter.</w:t>
      </w:r>
    </w:p>
    <w:p>
      <w:pPr>
        <w:pStyle w:val="kar_section"/>
      </w:pPr>
      <w:r>
        <w:t xml:space="preserve">Section 5.</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 shall determine whether there has been a prima facie violation of KRS 309.325 to 309.339 or the administrative regulations promulgated thereunder. If so, a formal complaint shall be filed.</w:t>
      </w:r>
    </w:p>
    <w:p>
      <w:pPr>
        <w:pStyle w:val="kar_subsection"/>
      </w:pPr>
      <w:r>
        <w:t xml:space="preserve">(2)</w:t>
      </w:r>
      <w:r>
        <w:t xml:space="preserve"> </w:t>
      </w:r>
      <w:r>
        <w:t xml:space="preserve">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 holder.</w:t>
      </w:r>
    </w:p>
    <w:p>
      <w:pPr>
        <w:pStyle w:val="kar_paragraph"/>
      </w:pPr>
      <w:r>
        <w:t xml:space="preserve">(a)</w:t>
      </w:r>
      <w:r>
        <w:t xml:space="preserve"> </w:t>
      </w:r>
      <w:r>
        <w:t xml:space="preserve">A copy of the written admonishment shall be placed in the permanent file of the license holder.</w:t>
      </w:r>
    </w:p>
    <w:p>
      <w:pPr>
        <w:pStyle w:val="kar_paragraph"/>
      </w:pPr>
      <w:r>
        <w:t xml:space="preserve">(b)</w:t>
      </w:r>
      <w:r>
        <w:t xml:space="preserve"> </w:t>
      </w:r>
      <w:r>
        <w:t xml:space="preserve">The license holder shall have the right to file a response in writing to the admonishment within thirty (30) days of its receipt and may have it placed in the license holder's permanent file.</w:t>
      </w:r>
    </w:p>
    <w:p>
      <w:pPr>
        <w:pStyle w:val="kar_paragraph"/>
      </w:pPr>
      <w:r>
        <w:t xml:space="preserve">(c)</w:t>
      </w:r>
      <w:r>
        <w:t xml:space="preserve"> </w:t>
      </w:r>
      <w:r>
        <w:t xml:space="preserve">Alternatively, the license holder may 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 </w:t>
      </w:r>
    </w:p>
    <w:p>
      <w:pPr>
        <w:pStyle w:val="kar_paragraph"/>
      </w:pPr>
      <w:r>
        <w:t xml:space="preserve">(a)</w:t>
      </w:r>
      <w:r>
        <w:t xml:space="preserve"> </w:t>
      </w:r>
      <w:r>
        <w:t xml:space="preserve">If the board determines that a complaint warrants the issuance of a formal complaint against the license holder, the board or its counsel shall prepare a formal complaint that states clearly the charge or charges to be considered at the hearing.</w:t>
      </w:r>
    </w:p>
    <w:p>
      <w:pPr>
        <w:pStyle w:val="kar_paragraph"/>
      </w:pPr>
      <w:r>
        <w:t xml:space="preserve">(b)</w:t>
      </w:r>
      <w:r>
        <w:t xml:space="preserve"> </w:t>
      </w:r>
      <w:r>
        <w:t xml:space="preserve"> </w:t>
      </w:r>
    </w:p>
    <w:p>
      <w:pPr>
        <w:pStyle w:val="kar_subparagraph"/>
      </w:pPr>
      <w:r>
        <w:t xml:space="preserve">1.</w:t>
      </w:r>
      <w:r>
        <w:t xml:space="preserve"> </w:t>
      </w:r>
      <w:r>
        <w:t xml:space="preserve">The formal complaint shall be reviewed by the board and, if approved, signed by the chair and served upon the individual as required by KRS Chapter 13B.</w:t>
      </w:r>
    </w:p>
    <w:p>
      <w:pPr>
        <w:pStyle w:val="kar_subparagraph"/>
      </w:pPr>
      <w:r>
        <w:t xml:space="preserve">2.</w:t>
      </w:r>
      <w:r>
        <w:t xml:space="preserve"> </w:t>
      </w:r>
      <w:r>
        <w:t xml:space="preserve">The formal complaint shall be processed in accordance with KRS Chapter 13B.</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may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Incorporation by Reference.</w:t>
      </w:r>
    </w:p>
    <w:p>
      <w:pPr>
        <w:pStyle w:val="kar_subsection"/>
      </w:pPr>
      <w:r>
        <w:t xml:space="preserve">(1)</w:t>
      </w:r>
      <w:r>
        <w:t xml:space="preserve"> </w:t>
      </w:r>
      <w:r>
        <w:rPr>
          <w:u w:val="single"/>
        </w:rPr>
        <w:t xml:space="preserve">The Information &amp; Complaint Form With Authorization for the Use and Disclosure of Health Information, DPL-BDE-08, July 2025,</w:t>
      </w:r>
      <w:r>
        <w:t>[</w:t>
      </w:r>
      <w:r>
        <w:rPr>
          <w:strike w:val="true"/>
        </w:rPr>
        <w:t xml:space="preserve">"Complaint Form", Form DE-06, 06/2013,</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Licensing, Board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disciplinary complaint procedures for the Board.</w:t>
      </w:r>
    </w:p>
    <w:p>
      <w:pPr>
        <w:pStyle w:val="kar_normal"/>
        <w:ind w:left="576"/>
      </w:pPr>
      <w:r>
        <w:t xml:space="preserve">(b) The necessity of this administrative regulation:</w:t>
      </w:r>
    </w:p>
    <w:p>
      <w:pPr>
        <w:pStyle w:val="kar_normal"/>
        <w:ind w:left="720"/>
      </w:pPr>
      <w:r>
        <w:t xml:space="preserve">This regulation is necessary because it provides the procedures for the Board to follow in receiving and resolving complaints.</w:t>
      </w:r>
    </w:p>
    <w:p>
      <w:pPr>
        <w:pStyle w:val="kar_normal"/>
        <w:ind w:left="576"/>
      </w:pPr>
      <w:r>
        <w:t xml:space="preserve">(c) How this administrative regulation conforms to the content of the authorizing statutes:</w:t>
      </w:r>
    </w:p>
    <w:p>
      <w:pPr>
        <w:pStyle w:val="kar_normal"/>
        <w:ind w:left="720"/>
      </w:pPr>
      <w:r>
        <w:t xml:space="preserve">The Board is given the authority to establish regulations in KRS 309.331(1).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complaint procedures for the Board to follow.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and rename the form for making a complaint, which will now be the Information &amp; Complaint Form With Authorization for the Use and Disclosure of Health Information, DPL-BDE-08, to include information about the complaint process, as well as include a HIPAA release.</w:t>
      </w:r>
    </w:p>
    <w:p>
      <w:pPr>
        <w:pStyle w:val="kar_normal"/>
        <w:ind w:left="576"/>
      </w:pPr>
      <w:r>
        <w:t xml:space="preserve">(b) The necessity of the amendment to this administrative regulation:</w:t>
      </w:r>
    </w:p>
    <w:p>
      <w:pPr>
        <w:pStyle w:val="kar_normal"/>
        <w:ind w:left="720"/>
      </w:pPr>
      <w:r>
        <w:t xml:space="preserve">The amendment is necessary to update the material incorporated by reference for formatting consistent and to provide the public with information regarding the complaint process, and to obtain the HIPAA release for medical records for efficiency and expediency during the complaint process.</w:t>
      </w:r>
    </w:p>
    <w:p>
      <w:pPr>
        <w:pStyle w:val="kar_normal"/>
        <w:ind w:left="576"/>
      </w:pPr>
      <w:r>
        <w:t xml:space="preserve">(c) How the amendment conforms to the content of the authorizing statutes:</w:t>
      </w:r>
    </w:p>
    <w:p>
      <w:pPr>
        <w:pStyle w:val="kar_normal"/>
        <w:ind w:left="720"/>
      </w:pPr>
      <w:r>
        <w:t xml:space="preserve">KRS 309.331 authorizes the board to promulgate administrative regulations to carry out and enforce KRS 309.325 to 309.339 and to issue renewals; and KRS 309.335 authorizes the board to investigate complaints for enforcement of KRS Chapter 309.</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updating the forms to include the statutory and regulatory authority for the provisions of the form, to provide information to the public about the complaint process, and to obtain a HIPAA release of relevant medical records at the inception of the process.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244 credential holders and two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They will have to comply with any requests for investigation or hearings made by the Board pursuant to a complaint.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may cost them the expenses associated with a complaint or hearing and any fines resulting from the complaint or hearing.</w:t>
      </w:r>
    </w:p>
    <w:p>
      <w:pPr>
        <w:pStyle w:val="kar_normal"/>
        <w:ind w:left="576"/>
      </w:pPr>
      <w:r>
        <w:t xml:space="preserve">(c) As a result of compliance, what benefits will accrue to the entities identified in question (4):</w:t>
      </w:r>
    </w:p>
    <w:p>
      <w:pPr>
        <w:pStyle w:val="kar_normal"/>
        <w:ind w:left="720"/>
      </w:pPr>
      <w:r>
        <w:t xml:space="preserve">They will have the benefit of an opportunity to file formal complaints and have an opportunity to be heard regarding any complaints that may be filed against them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is anticipated.</w:t>
      </w:r>
    </w:p>
    <w:p>
      <w:pPr>
        <w:pStyle w:val="kar_normal"/>
        <w:ind w:left="576"/>
      </w:pPr>
      <w:r>
        <w:t xml:space="preserve">(b) On a continuing basis:</w:t>
      </w:r>
    </w:p>
    <w:p>
      <w:pPr>
        <w:pStyle w:val="kar_normal"/>
        <w:ind w:left="720"/>
      </w:pPr>
      <w:r>
        <w:t xml:space="preserve">No cost is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 is funded by the fees paid by licensees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anticipated by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directly or indirectly.</w:t>
      </w:r>
    </w:p>
    <w:p>
      <w:pPr>
        <w:pStyle w:val="kar_normal"/>
        <w:ind w:left="288"/>
      </w:pPr>
      <w:r>
        <w:t xml:space="preserve">(10) TIERING: Is tiering applied?</w:t>
      </w:r>
    </w:p>
    <w:p>
      <w:pPr>
        <w:pStyle w:val="kar_normal"/>
        <w:ind w:left="432"/>
      </w:pPr>
      <w:r>
        <w:t xml:space="preserve">Tiering was not applied because these requirements apply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309.331(3). Created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Diabetes Educators is housed for administrative purposes within the Office of Occupations and Professions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 as there are no revenues or expenditures generated since fees are attached in another administrative regulation.</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f3a81e8ab4692" /><Relationship Type="http://schemas.openxmlformats.org/officeDocument/2006/relationships/settings" Target="/word/settings.xml" Id="R7cf3960d91874c8a" /></Relationships>
</file>