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8f71c0987e4ad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DIABETES EDUCATORS</w:t>
      </w:r>
    </w:p>
    <w:p>
      <w:pPr>
        <w:pStyle w:val="kar_markup_header"/>
        <w:ind w:firstLine="0"/>
      </w:pPr>
      <w:r>
        <w:t>(Amendment)</w:t>
      </w:r>
    </w:p>
    <w:p>
      <w:pPr>
        <w:pStyle w:val="kar_citation"/>
      </w:pPr>
      <w:r>
        <w:t>201 KAR 45:180.</w:t>
      </w:r>
      <w:r>
        <w:t xml:space="preserve"> </w:t>
      </w:r>
      <w:r>
        <w:t xml:space="preserve">Diabetes Education Courses.</w:t>
      </w:r>
    </w:p>
    <w:p>
      <w:pPr>
        <w:pStyle w:val="kar_markup_metadata"/>
      </w:pPr>
      <w:r>
        <w:t xml:space="preserve">RELATES TO: </w:t>
      </w:r>
      <w:r>
        <w:t xml:space="preserve">KRS 309.331</w:t>
      </w:r>
    </w:p>
    <w:p>
      <w:pPr>
        <w:pStyle w:val="kar_markup_metadata"/>
      </w:pPr>
      <w:r>
        <w:t xml:space="preserve">STATUTORY AUTHORITY: </w:t>
      </w:r>
      <w:r>
        <w:t xml:space="preserve">KRS 309.331(1), 309.335</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309.335(1)(b)1. requires the board to promulgate administrative regulations specifying requirements for the board-approved course in diabetes education. This administrative regulation establishes the requirements and procedures for the board-approved course in diabetes education.</w:t>
      </w:r>
    </w:p>
    <w:p>
      <w:pPr>
        <w:pStyle w:val="kar_section"/>
      </w:pPr>
      <w:r>
        <w:t xml:space="preserve">Section 1.</w:t>
      </w:r>
      <w:r>
        <w:t xml:space="preserve"> </w:t>
      </w:r>
      <w:r>
        <w:t xml:space="preserve">The American Association of Diabetes Educators Core Concepts Course shall constitute a board-approved course in diabetes education.</w:t>
      </w:r>
    </w:p>
    <w:p>
      <w:pPr>
        <w:pStyle w:val="kar_section"/>
      </w:pPr>
      <w:r>
        <w:t xml:space="preserve">Section 2.</w:t>
      </w:r>
      <w:r>
        <w:t xml:space="preserve"> </w:t>
      </w:r>
      <w:r>
        <w:t xml:space="preserve">A person may petition the board to approve another course in diabetes education that is substantially equivalent to the American Association of Diabetes Educators Core Concepts Course by submitting to the board a completed Application for KBLDE Board Approved Course, Form DE-07. The application form shall be accompanied by:</w:t>
      </w:r>
    </w:p>
    <w:p>
      <w:pPr>
        <w:pStyle w:val="kar_subsection"/>
      </w:pPr>
      <w:r>
        <w:t xml:space="preserve">(1)</w:t>
      </w:r>
      <w:r>
        <w:t xml:space="preserve"> </w:t>
      </w:r>
      <w:r>
        <w:t xml:space="preserve">A thorough course description;</w:t>
      </w:r>
    </w:p>
    <w:p>
      <w:pPr>
        <w:pStyle w:val="kar_subsection"/>
      </w:pPr>
      <w:r>
        <w:t xml:space="preserve">(2)</w:t>
      </w:r>
      <w:r>
        <w:t xml:space="preserve"> </w:t>
      </w:r>
      <w:r>
        <w:t xml:space="preserve">A statement of the learning objectives;</w:t>
      </w:r>
    </w:p>
    <w:p>
      <w:pPr>
        <w:pStyle w:val="kar_subsection"/>
      </w:pPr>
      <w:r>
        <w:t xml:space="preserve">(3)</w:t>
      </w:r>
      <w:r>
        <w:t xml:space="preserve"> </w:t>
      </w:r>
      <w:r>
        <w:t xml:space="preserve">A statement of the target audience;</w:t>
      </w:r>
    </w:p>
    <w:p>
      <w:pPr>
        <w:pStyle w:val="kar_subsection"/>
      </w:pPr>
      <w:r>
        <w:t xml:space="preserve">(4)</w:t>
      </w:r>
      <w:r>
        <w:t xml:space="preserve"> </w:t>
      </w:r>
      <w:r>
        <w:t xml:space="preserve">The content focus of the course;</w:t>
      </w:r>
    </w:p>
    <w:p>
      <w:pPr>
        <w:pStyle w:val="kar_subsection"/>
      </w:pPr>
      <w:r>
        <w:t xml:space="preserve">(5)</w:t>
      </w:r>
      <w:r>
        <w:t xml:space="preserve"> </w:t>
      </w:r>
      <w:r>
        <w:t xml:space="preserve">A detailed agenda for the activity;</w:t>
      </w:r>
    </w:p>
    <w:p>
      <w:pPr>
        <w:pStyle w:val="kar_subsection"/>
      </w:pPr>
      <w:r>
        <w:t xml:space="preserve">(6)</w:t>
      </w:r>
      <w:r>
        <w:t xml:space="preserve"> </w:t>
      </w:r>
      <w:r>
        <w:t xml:space="preserve">The number of contact hours requested;</w:t>
      </w:r>
    </w:p>
    <w:p>
      <w:pPr>
        <w:pStyle w:val="kar_subsection"/>
      </w:pPr>
      <w:r>
        <w:t xml:space="preserve">(7)</w:t>
      </w:r>
      <w:r>
        <w:t xml:space="preserve"> </w:t>
      </w:r>
      <w:r>
        <w:t xml:space="preserve">The qualifications required for presenters; and</w:t>
      </w:r>
    </w:p>
    <w:p>
      <w:pPr>
        <w:pStyle w:val="kar_subsection"/>
      </w:pPr>
      <w:r>
        <w:t xml:space="preserve">(8)</w:t>
      </w:r>
      <w:r>
        <w:t xml:space="preserve"> </w:t>
      </w:r>
      <w:r>
        <w:t xml:space="preserve">A sample of the certificate of completion awarded to successful attendees.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KBLDE Board Approved Course", Form </w:t>
      </w:r>
      <w:r>
        <w:rPr>
          <w:u w:val="single"/>
        </w:rPr>
        <w:t xml:space="preserve">DPL-BDE-09, July 2025</w:t>
      </w:r>
      <w:r>
        <w:t>[</w:t>
      </w:r>
      <w:r>
        <w:rPr>
          <w:strike w:val="true"/>
        </w:rPr>
        <w:t xml:space="preserve">DE-07, 08/2014</w:t>
      </w:r>
      <w:r>
        <w:t>]</w:t>
      </w:r>
      <w:r>
        <w:t xml:space="preserve"> is incorporated by reference.</w:t>
      </w:r>
    </w:p>
    <w:p>
      <w:pPr>
        <w:pStyle w:val="kar_subsection"/>
      </w:pPr>
      <w:r>
        <w:t xml:space="preserve">(2)</w:t>
      </w:r>
      <w:r>
        <w:t xml:space="preserve"> </w:t>
      </w:r>
      <w:r>
        <w:t xml:space="preserve">This material may be </w:t>
      </w:r>
      <w:r>
        <w:rPr>
          <w:u w:val="single"/>
        </w:rPr>
        <w:t xml:space="preserve">located on the board website at bde.ky.gov or</w:t>
      </w:r>
      <w:r>
        <w:t xml:space="preserve"> inspected, copied, or obtained, subject to applicable copyright law, at the Kentucky Board of Licensed Diabetes Educators, Department of Professional Licensing, 500 Mero Street, </w:t>
      </w:r>
      <w:r>
        <w:t>[</w:t>
      </w:r>
      <w:r>
        <w:rPr>
          <w:strike w:val="true"/>
        </w:rPr>
        <w:t xml:space="preserve">2SC32,</w:t>
      </w:r>
      <w:r>
        <w:t>]</w:t>
      </w:r>
      <w:r>
        <w:t xml:space="preserve"> Frankfort, Kentucky 40601, Monday through Friday, 8 a.m. to </w:t>
      </w:r>
      <w:r>
        <w:rPr>
          <w:u w:val="single"/>
        </w:rPr>
        <w:t xml:space="preserve">4:30</w:t>
      </w:r>
      <w:r>
        <w:t>[</w:t>
      </w:r>
      <w:r>
        <w:rPr>
          <w:strike w:val="true"/>
        </w:rPr>
        <w:t xml:space="preserve">5</w:t>
      </w:r>
      <w:r>
        <w:t>]</w:t>
      </w:r>
      <w:r>
        <w:t xml:space="preserve"> p.m.</w:t>
      </w:r>
    </w:p>
    <w:p>
      <w:pPr>
        <w:pStyle w:val="kar_signature"/>
      </w:pPr>
      <w:r>
        <w:t xml:space="preserve">E. BLAIR LYKINS, Chair</w:t>
      </w:r>
    </w:p>
    <w:p>
      <w:pPr>
        <w:pStyle w:val="kar_normal"/>
      </w:pPr>
      <w:r>
        <w:t xml:space="preserve"/>
      </w:r>
    </w:p>
    <w:p>
      <w:pPr>
        <w:pStyle w:val="kar_approved_by"/>
      </w:pPr>
      <w:r>
        <w:t xml:space="preserve">APPROVED BY AGENCY: November 4, 2025</w:t>
      </w:r>
    </w:p>
    <w:p>
      <w:pPr>
        <w:pStyle w:val="kar_filed"/>
      </w:pPr>
      <w:r>
        <w:t xml:space="preserve">FILED WITH LRC: November 10, 2025 at 9:40 a.m.</w:t>
      </w:r>
    </w:p>
    <w:p>
      <w:pPr>
        <w:pStyle w:val="kar_normal"/>
      </w:pPr>
      <w:r>
        <w:t xml:space="preserve"/>
      </w:r>
    </w:p>
    <w:p>
      <w:pPr>
        <w:pStyle w:val="kar_comment_period"/>
      </w:pPr>
      <w:r>
        <w:t xml:space="preserve">PUBLIC HEARING AND PUBLIC COMMENT PERIOD: A public hearing on this administrative regulation shall be held on January 27, 2026, at 2:00 P.M. Eastern Time, in PPC Conference Room 127CW, at the Mayo-Underwood Building, 500 Mero Street,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Janes </w:t>
      </w:r>
    </w:p>
    <w:p>
      <w:pPr>
        <w:pStyle w:val="kar_normal"/>
        <w:ind w:left="0"/>
      </w:pPr>
      <w:r>
        <w:t xml:space="preserve">Subject Headings:</w:t>
      </w:r>
      <w:r>
        <w:t xml:space="preserve"> Diabetes Educators, Licensing,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establishes the requirements for board-approved courses in diabetes education.</w:t>
      </w:r>
    </w:p>
    <w:p>
      <w:pPr>
        <w:pStyle w:val="kar_normal"/>
        <w:ind w:left="576"/>
      </w:pPr>
      <w:r>
        <w:t xml:space="preserve">(b) The necessity of this administrative regulation:</w:t>
      </w:r>
    </w:p>
    <w:p>
      <w:pPr>
        <w:pStyle w:val="kar_normal"/>
        <w:ind w:left="720"/>
      </w:pPr>
      <w:r>
        <w:t xml:space="preserve">This regulation is necessary because it establishes the requirements for board-approved courses in diabetes education.</w:t>
      </w:r>
    </w:p>
    <w:p>
      <w:pPr>
        <w:pStyle w:val="kar_normal"/>
        <w:ind w:left="576"/>
      </w:pPr>
      <w:r>
        <w:t xml:space="preserve">(c) How this administrative regulation conforms to the content of the authorizing statutes:</w:t>
      </w:r>
    </w:p>
    <w:p>
      <w:pPr>
        <w:pStyle w:val="kar_normal"/>
        <w:ind w:left="720"/>
      </w:pPr>
      <w:r>
        <w:t xml:space="preserve">The board is given the authority to establish regulations for the practice of diabetes educators.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requirements for board approved courses in diabetes education.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material incorporated by reference for formatting.</w:t>
      </w:r>
    </w:p>
    <w:p>
      <w:pPr>
        <w:pStyle w:val="kar_normal"/>
        <w:ind w:left="576"/>
      </w:pPr>
      <w:r>
        <w:t xml:space="preserve">(b) The necessity of the amendment to this administrative regulation:</w:t>
      </w:r>
    </w:p>
    <w:p>
      <w:pPr>
        <w:pStyle w:val="kar_normal"/>
        <w:ind w:left="720"/>
      </w:pPr>
      <w:r>
        <w:t xml:space="preserve">The amendment is necessary because the board is updating all materials incorporated by reference to include applicable statutes and regulations authorizing each material.</w:t>
      </w:r>
    </w:p>
    <w:p>
      <w:pPr>
        <w:pStyle w:val="kar_normal"/>
        <w:ind w:left="576"/>
      </w:pPr>
      <w:r>
        <w:t xml:space="preserve">(c) How the amendment conforms to the content of the authorizing statutes:</w:t>
      </w:r>
    </w:p>
    <w:p>
      <w:pPr>
        <w:pStyle w:val="kar_normal"/>
        <w:ind w:left="720"/>
      </w:pPr>
      <w:r>
        <w:t xml:space="preserve">KRS 309.331 authorizes the board to promulgate administrative regulations to carry out and enforce KRS 309.325 to 309.339 and to issue licenses.</w:t>
      </w:r>
    </w:p>
    <w:p>
      <w:pPr>
        <w:pStyle w:val="kar_normal"/>
        <w:ind w:left="576"/>
      </w:pPr>
      <w:r>
        <w:t xml:space="preserve">(d) How the amendment will assist in the effective administration of the statutes:</w:t>
      </w:r>
    </w:p>
    <w:p>
      <w:pPr>
        <w:pStyle w:val="kar_normal"/>
        <w:ind w:left="720"/>
      </w:pPr>
      <w:r>
        <w:t xml:space="preserve">The amendment assists the public by providing the updated revision date of the form for approval of continuing education courses.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currently 244 credential holders and two (2) inactive credential holders. (5) Provide an analysis of how the entities identified in question (3) will be impacted by either the implementation of this administrative regulation, if new, or by the change, if it is an amendment, including:</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for licensure will be required to take a course in diabetes education conforming to this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fee for applying is established in a separate regulation.</w:t>
      </w:r>
    </w:p>
    <w:p>
      <w:pPr>
        <w:pStyle w:val="kar_normal"/>
        <w:ind w:left="576"/>
      </w:pPr>
      <w:r>
        <w:t xml:space="preserve">(c) As a result of compliance, what benefits will accrue to the entities identified in question (4):</w:t>
      </w:r>
    </w:p>
    <w:p>
      <w:pPr>
        <w:pStyle w:val="kar_normal"/>
        <w:ind w:left="720"/>
      </w:pPr>
      <w:r>
        <w:t xml:space="preserve">Applicants for licensure will be able to take courses in diabetes education and apply for licensure.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anticipated cost.</w:t>
      </w:r>
    </w:p>
    <w:p>
      <w:pPr>
        <w:pStyle w:val="kar_normal"/>
        <w:ind w:left="576"/>
      </w:pPr>
      <w:r>
        <w:t xml:space="preserve">(b) On a continuing basis:</w:t>
      </w:r>
    </w:p>
    <w:p>
      <w:pPr>
        <w:pStyle w:val="kar_normal"/>
        <w:ind w:left="720"/>
      </w:pPr>
      <w:r>
        <w:t xml:space="preserve">There is no anticipated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 is funded by the fees paid by licensees and apprentice diabetes educators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does not establish any fees directly or indirectly.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directly or indirectly. Fees are established in another regulation.</w:t>
      </w:r>
    </w:p>
    <w:p>
      <w:pPr>
        <w:pStyle w:val="kar_normal"/>
        <w:ind w:left="288"/>
      </w:pPr>
      <w:r>
        <w:t xml:space="preserve">(10) TIERING: Is tiering applied?</w:t>
      </w:r>
    </w:p>
    <w:p>
      <w:pPr>
        <w:pStyle w:val="kar_normal"/>
        <w:ind w:left="432"/>
      </w:pPr>
      <w:r>
        <w:t xml:space="preserve">Tiering was not applied because these requirements apply equally to all licensees and permit holders.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309.335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309.331(1). Created 2011 Ky. Acts ch. 87, sec. 4, effective June 8, 2011.</w:t>
      </w:r>
    </w:p>
    <w:p>
      <w:pPr>
        <w:pStyle w:val="kar_normal"/>
        <w:ind w:left="288"/>
      </w:pPr>
      <w:r>
        <w:t xml:space="preserve">(3)(a) Identify the promulgating agency and any other affected state units, parts, or divisions:</w:t>
      </w:r>
    </w:p>
    <w:p>
      <w:pPr>
        <w:pStyle w:val="kar_normal"/>
        <w:ind w:left="432"/>
      </w:pPr>
      <w:r>
        <w:t xml:space="preserve">The Kentucky Board of Licensed Diabetes Educators is housed for administrative purposes within the Office of Occupations and Professions in the Public Protection Cabinet.</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not have a fiscal impact as there are no revenues or expenditures generated since fees are attached in another administrative regulation.</w:t>
      </w:r>
    </w:p>
    <w:p>
      <w:pPr>
        <w:pStyle w:val="kar_normal"/>
        <w:ind w:left="288"/>
      </w:pPr>
      <w:r>
        <w:t xml:space="preserve">(b) Methodology and resources used to reach this conclusion:</w:t>
      </w:r>
    </w:p>
    <w:p>
      <w:pPr>
        <w:pStyle w:val="kar_normal"/>
        <w:ind w:left="432"/>
      </w:pPr>
      <w:r>
        <w:t xml:space="preserve">The board requested its fiscal administrator provide a budget analysis to determine if this administrative regulation will generate revenue for the Board and it determined it will not.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an overall negative or adverse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was a review of the existing budget by the board’s fiscal administrator as well as consideration of the amendment and whether staff time and costs will be increased.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a6d98159464683" /><Relationship Type="http://schemas.openxmlformats.org/officeDocument/2006/relationships/settings" Target="/word/settings.xml" Id="Re6f343b0cfc549c6" /></Relationships>
</file>