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84b9e681f040f4" /></Relationships>
</file>

<file path=word/document.xml><?xml version="1.0" encoding="utf-8"?>
<w:document xmlns:w="http://schemas.openxmlformats.org/wordprocessingml/2006/main">
  <w:body>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CERTIFICATION STATEMENT: </w:t>
      </w:r>
      <w:r>
        <w:t xml:space="preserve">This certifies that this administrative regulation complies with the requirements of 2025 RS HB 6, Section 8(2)(a).</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Home Infusion and the 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 which shall be conducted under the in-person and direct supervision of a person listed in Section 3(1) of this administrative regulation.</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 Home Infusion", Infusion Nurses Society, Third Edition, 2024; and</w:t>
      </w:r>
    </w:p>
    <w:p>
      <w:pPr>
        <w:pStyle w:val="kar_paragraph"/>
      </w:pPr>
      <w:r>
        <w:t xml:space="preserve">(b)</w:t>
      </w:r>
      <w:r>
        <w:t xml:space="preserve"> </w:t>
      </w:r>
      <w:r>
        <w:t xml:space="preserve">"Infusion Therapy: Standards of Practice", Infusion Nurses Society, Ninth Edition, 2024.</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 Links to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020:490. 30 Ky.R. 2585; 31 Ky.R. 369; 546; eff. 9-15-2004; 32 Ky.R. 2324; 33 Ky.R. 382; eff. 9-1-2006; 36 Ky.R. 2073-A; 2312; eff. 6-15-2010; TAm eff. 7-15-2010; 37 Ky.R. 2446; 2830; eff. 6-15-2011; 38 Ky.R. 1764; 1945; eff. 6-20-2012; 45 Ky.R. 415, 948; eff. 11-2-2018; 49 Ky.R. 420, 1056; eff. 11-15-2022; TAm eff. 11-21-2023; 52 Ky.R. 1021; eff. 3-12-2026.)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f99ba8ee354e92" /><Relationship Type="http://schemas.openxmlformats.org/officeDocument/2006/relationships/settings" Target="/word/settings.xml" Id="R982ce1ced93f445f" /></Relationships>
</file>