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f47cda5dad4fe5"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and signed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the subject of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and signed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the subject of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such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12(8)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16(5)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may be audited to determine compliance with the requirements of this section.</w:t>
      </w:r>
    </w:p>
    <w:p>
      <w:pPr>
        <w:pStyle w:val="kar_section"/>
      </w:pPr>
      <w:r>
        <w:t xml:space="preserve">Section 6.</w:t>
      </w:r>
      <w:r>
        <w:t xml:space="preserve"> </w:t>
      </w:r>
      <w:r>
        <w:t xml:space="preserve">Renewal of a Dental Hygiene License.</w:t>
      </w:r>
    </w:p>
    <w:p>
      <w:pPr>
        <w:pStyle w:val="kar_subsection"/>
      </w:pPr>
      <w:r>
        <w:t xml:space="preserve">(1)</w:t>
      </w:r>
      <w:r>
        <w:t xml:space="preserve"> </w:t>
      </w:r>
      <w:r>
        <w:t xml:space="preserve">All dental hygienist licenses issued by the board shall expire on December 31 of even-numbered years and shall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 and signed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pay:</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t xml:space="preserve">Administers local anesthesia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continuing education course prior to resuming the 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ADA 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 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 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t xml:space="preserve">Starts IV access lines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t xml:space="preserve">Performs laser debridement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t xml:space="preserve">A public health registered dental hygienist shall only practice public health hygiene in accordance with KRS 313.040(8).</w:t>
      </w:r>
    </w:p>
    <w:p>
      <w:pPr>
        <w:pStyle w:val="kar_subsection"/>
      </w:pPr>
      <w:r>
        <w:t xml:space="preserve">(4)</w:t>
      </w:r>
      <w:r>
        <w:t xml:space="preserve"> </w:t>
      </w:r>
      <w:r>
        <w:t xml:space="preserve">A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subsection"/>
      </w:pPr>
      <w:r>
        <w:t xml:space="preserve">(5)</w:t>
      </w:r>
      <w:r>
        <w:t xml:space="preserve"> </w:t>
      </w:r>
      <w:r>
        <w:t xml:space="preserve">Pursuant to KRS 313.040(8)(c), a public health registered dental hygienist shall only perform the following services as defined by the most recent version of Current Dental Terminology as incorporated by reference:</w:t>
      </w:r>
    </w:p>
    <w:p>
      <w:pPr>
        <w:pStyle w:val="kar_paragraph"/>
      </w:pPr>
      <w:r>
        <w:t xml:space="preserve">(a)</w:t>
      </w:r>
      <w:r>
        <w:t xml:space="preserve"> </w:t>
      </w:r>
      <w:r>
        <w:t xml:space="preserve">Oral Assessment;</w:t>
      </w:r>
    </w:p>
    <w:p>
      <w:pPr>
        <w:pStyle w:val="kar_paragraph"/>
      </w:pPr>
      <w:r>
        <w:t xml:space="preserve">(b)</w:t>
      </w:r>
      <w:r>
        <w:t xml:space="preserve"> </w:t>
      </w:r>
      <w:r>
        <w:t xml:space="preserve">Oral Hygiene Instruction;</w:t>
      </w:r>
    </w:p>
    <w:p>
      <w:pPr>
        <w:pStyle w:val="kar_paragraph"/>
      </w:pPr>
      <w:r>
        <w:t xml:space="preserve">(c)</w:t>
      </w:r>
      <w:r>
        <w:t xml:space="preserve"> </w:t>
      </w:r>
      <w:r>
        <w:t xml:space="preserve">Nutritional Counseling;</w:t>
      </w:r>
    </w:p>
    <w:p>
      <w:pPr>
        <w:pStyle w:val="kar_paragraph"/>
      </w:pPr>
      <w:r>
        <w:t xml:space="preserve">(d)</w:t>
      </w:r>
      <w:r>
        <w:t xml:space="preserve"> </w:t>
      </w:r>
      <w:r>
        <w:t xml:space="preserve">Tobacco Counseling;</w:t>
      </w:r>
    </w:p>
    <w:p>
      <w:pPr>
        <w:pStyle w:val="kar_paragraph"/>
      </w:pPr>
      <w:r>
        <w:t xml:space="preserve">(e)</w:t>
      </w:r>
      <w:r>
        <w:t xml:space="preserve"> </w:t>
      </w:r>
      <w:r>
        <w:t xml:space="preserve">High Risk Substance Counseling;</w:t>
      </w:r>
    </w:p>
    <w:p>
      <w:pPr>
        <w:pStyle w:val="kar_paragraph"/>
      </w:pPr>
      <w:r>
        <w:t xml:space="preserve">(f)</w:t>
      </w:r>
      <w:r>
        <w:t xml:space="preserve"> </w:t>
      </w:r>
      <w:r>
        <w:t xml:space="preserve">Prophylaxis – Adult;</w:t>
      </w:r>
    </w:p>
    <w:p>
      <w:pPr>
        <w:pStyle w:val="kar_paragraph"/>
      </w:pPr>
      <w:r>
        <w:t xml:space="preserve">(g)</w:t>
      </w:r>
      <w:r>
        <w:t xml:space="preserve"> </w:t>
      </w:r>
      <w:r>
        <w:t xml:space="preserve">Prophylaxis – Child;</w:t>
      </w:r>
    </w:p>
    <w:p>
      <w:pPr>
        <w:pStyle w:val="kar_paragraph"/>
      </w:pPr>
      <w:r>
        <w:t xml:space="preserve">(h)</w:t>
      </w:r>
      <w:r>
        <w:t xml:space="preserve"> </w:t>
      </w:r>
      <w:r>
        <w:t xml:space="preserve">Pit and Fissure Sealants;</w:t>
      </w:r>
    </w:p>
    <w:p>
      <w:pPr>
        <w:pStyle w:val="kar_paragraph"/>
      </w:pPr>
      <w:r>
        <w:t xml:space="preserve">(i)</w:t>
      </w:r>
      <w:r>
        <w:t xml:space="preserve"> </w:t>
      </w:r>
      <w:r>
        <w:t xml:space="preserve">Fluoride Treatment; and</w:t>
      </w:r>
    </w:p>
    <w:p>
      <w:pPr>
        <w:pStyle w:val="kar_paragraph"/>
      </w:pPr>
      <w:r>
        <w:t xml:space="preserve">(j)</w:t>
      </w:r>
      <w:r>
        <w:t xml:space="preserve"> </w:t>
      </w:r>
      <w:r>
        <w:t xml:space="preserve">Unspecified Preventative Procedure, by Report.</w:t>
      </w:r>
    </w:p>
    <w:p>
      <w:pPr>
        <w:pStyle w:val="kar_subsection"/>
      </w:pPr>
      <w:r>
        <w:t xml:space="preserve">(6)</w:t>
      </w:r>
      <w:r>
        <w:t xml:space="preserve"> </w:t>
      </w:r>
      <w:r>
        <w:t xml:space="preserve">Informed consent shall be obtained by the patient or legal guardian of the patient prior to providing services and shall include:</w:t>
      </w:r>
    </w:p>
    <w:p>
      <w:pPr>
        <w:pStyle w:val="kar_paragraph"/>
      </w:pPr>
      <w:r>
        <w:t xml:space="preserve">(a)</w:t>
      </w:r>
      <w:r>
        <w:t xml:space="preserve"> </w:t>
      </w:r>
      <w:r>
        <w:t xml:space="preserve">The name of the public health entity, including the name of the dentist, that assumes responsibility and control;</w:t>
      </w:r>
    </w:p>
    <w:p>
      <w:pPr>
        <w:pStyle w:val="kar_paragraph"/>
      </w:pPr>
      <w:r>
        <w:t xml:space="preserve">(b)</w:t>
      </w:r>
      <w:r>
        <w:t xml:space="preserve"> </w:t>
      </w:r>
      <w:r>
        <w:t xml:space="preserve">A request for the patient's current dental provider, if any; and</w:t>
      </w:r>
    </w:p>
    <w:p>
      <w:pPr>
        <w:pStyle w:val="kar_paragraph"/>
      </w:pPr>
      <w:r>
        <w:t xml:space="preserve">(c)</w:t>
      </w:r>
      <w:r>
        <w:t xml:space="preserve"> </w:t>
      </w:r>
      <w:r>
        <w:t xml:space="preserve">A statement that services are provided by a dental hygienist without the direct supervision of a dentist.</w:t>
      </w:r>
    </w:p>
    <w:p>
      <w:pPr>
        <w:pStyle w:val="kar_subsection"/>
      </w:pPr>
      <w:r>
        <w:t xml:space="preserve">(7)</w:t>
      </w:r>
      <w:r>
        <w:t xml:space="preserve"> </w:t>
      </w:r>
      <w:r>
        <w:t xml:space="preserve">At the conclusion of each patient visit, the treating public health hygienist shall:</w:t>
      </w:r>
    </w:p>
    <w:p>
      <w:pPr>
        <w:pStyle w:val="kar_paragraph"/>
      </w:pPr>
      <w:r>
        <w:t xml:space="preserve">(a)</w:t>
      </w:r>
      <w:r>
        <w:t xml:space="preserve"> </w:t>
      </w:r>
      <w:r>
        <w:t xml:space="preserve">Provide the patient or legal guardian of the patient with a standardized handout of all available community resources; and</w:t>
      </w:r>
    </w:p>
    <w:p>
      <w:pPr>
        <w:pStyle w:val="kar_paragraph"/>
      </w:pPr>
      <w:r>
        <w:t xml:space="preserve">(b)</w:t>
      </w:r>
      <w:r>
        <w:t xml:space="preserve"> </w:t>
      </w:r>
      <w:r>
        <w:t xml:space="preserve">Document that the referral to a dental home through the patient or legal guardian has begun within fourteen (14) days of the preventive visit for the patient with obvious dental needs.</w:t>
      </w:r>
    </w:p>
    <w:p>
      <w:pPr>
        <w:pStyle w:val="kar_subsection"/>
      </w:pPr>
      <w:r>
        <w:t xml:space="preserve">(8)</w:t>
      </w:r>
      <w:r>
        <w:t xml:space="preserve"> </w:t>
      </w:r>
      <w:r>
        <w:t xml:space="preserve"> This administrative regulation shall not preclude a Kentucky-licensed dentist from directly participating in a public health program as referenced in KRS 313.040(8)(c).</w:t>
      </w:r>
    </w:p>
    <w:p>
      <w:pPr>
        <w:pStyle w:val="kar_subsection"/>
      </w:pPr>
      <w:r>
        <w:t xml:space="preserve">(9)</w:t>
      </w:r>
      <w:r>
        <w:t xml:space="preserve"> </w:t>
      </w:r>
      <w:r>
        <w:t xml:space="preserve">During each biennial license period, a dental hygienist registered in public health dental hygiene shall complete nine (9) hours of continuing education to maintain public health registration upon license renewal.</w:t>
      </w:r>
    </w:p>
    <w:p>
      <w:pPr>
        <w:pStyle w:val="kar_paragraph"/>
      </w:pPr>
      <w:r>
        <w:t xml:space="preserve">(a)</w:t>
      </w:r>
      <w:r>
        <w:t xml:space="preserve"> </w:t>
      </w:r>
      <w:r>
        <w:t xml:space="preserve">These hours shall include:</w:t>
      </w:r>
    </w:p>
    <w:p>
      <w:pPr>
        <w:pStyle w:val="kar_subparagraph"/>
      </w:pPr>
      <w:r>
        <w:t xml:space="preserve">1.</w:t>
      </w:r>
      <w:r>
        <w:t xml:space="preserve"> </w:t>
      </w:r>
      <w:r>
        <w:t xml:space="preserve">Six (6)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w:t>
      </w:r>
    </w:p>
    <w:p>
      <w:pPr>
        <w:pStyle w:val="kar_paragraph"/>
      </w:pPr>
      <w:r>
        <w:t xml:space="preserve">(h)</w:t>
      </w:r>
      <w:r>
        <w:t xml:space="preserve"> </w:t>
      </w:r>
      <w:r>
        <w:t xml:space="preserve">"2020 American Heart Association Guidelines for CPR and ECC", Copyright 2024 American Heart Association"; and</w:t>
      </w:r>
    </w:p>
    <w:p>
      <w:pPr>
        <w:pStyle w:val="kar_paragraph"/>
      </w:pPr>
      <w:r>
        <w:t xml:space="preserve">(i)</w:t>
      </w:r>
      <w:r>
        <w:t xml:space="preserve"> </w:t>
      </w:r>
      <w:r>
        <w:t xml:space="preserve">"CDT 2025: Current Dental Terminology, Copyright© 2024 American Dental Association".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db7872ffc4d10" /><Relationship Type="http://schemas.openxmlformats.org/officeDocument/2006/relationships/settings" Target="/word/settings.xml" Id="R78eeacc6fb5d4873" /></Relationships>
</file>