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5b0da43e1247fc" /></Relationships>
</file>

<file path=word/document.xml><?xml version="1.0" encoding="utf-8"?>
<w:document xmlns:w="http://schemas.openxmlformats.org/wordprocessingml/2006/main">
  <w:body>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October 14,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October 14, 2025,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p>
    <w:p>
      <w:pPr>
        <w:pStyle w:val="kar_paragraph"/>
      </w:pPr>
      <w:r>
        <w:t xml:space="preserve">(c)</w:t>
      </w:r>
      <w:r>
        <w:t xml:space="preserve"> </w:t>
      </w:r>
      <w:r>
        <w:t xml:space="preserve">Chapter 4 – Data System Reporting Requirements, adopted January 10, 2024, and amended October 14, 2025;</w:t>
      </w:r>
    </w:p>
    <w:p>
      <w:pPr>
        <w:pStyle w:val="kar_paragraph"/>
      </w:pPr>
      <w:r>
        <w:t xml:space="preserve">(d)</w:t>
      </w:r>
      <w:r>
        <w:t xml:space="preserve"> </w:t>
      </w:r>
      <w:r>
        <w:t xml:space="preserve">Chapter 5 – Rulemaking on Legacy Eligibility for Privilege to Practice, adopted October 8, 2024;</w:t>
      </w:r>
    </w:p>
    <w:p>
      <w:pPr>
        <w:pStyle w:val="kar_paragraph"/>
      </w:pPr>
      <w:r>
        <w:t xml:space="preserve">(e)</w:t>
      </w:r>
      <w:r>
        <w:t xml:space="preserve"> </w:t>
      </w:r>
      <w:r>
        <w:t xml:space="preserve">Chapter 6 – Rulemaking on Implementing Criminal Background Checks, adopted October 8, 2024; and</w:t>
      </w:r>
    </w:p>
    <w:p>
      <w:pPr>
        <w:pStyle w:val="kar_paragraph"/>
      </w:pPr>
      <w:r>
        <w:t xml:space="preserve">(f)</w:t>
      </w:r>
      <w:r>
        <w:t xml:space="preserve"> </w:t>
      </w:r>
      <w:r>
        <w:t xml:space="preserve">Chapter 7 – Rulemaking on Fees, adopted February 12,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d93c156164c6a" /><Relationship Type="http://schemas.openxmlformats.org/officeDocument/2006/relationships/settings" Target="/word/settings.xml" Id="R58efb759b56d4ef1" /></Relationships>
</file>