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110ecd4bb4453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Occupational Therapy</w:t>
      </w:r>
    </w:p>
    <w:p>
      <w:pPr>
        <w:pStyle w:val="kar_markup_header"/>
        <w:ind w:firstLine="0"/>
      </w:pPr>
      <w:r>
        <w:t>(Amendment)</w:t>
      </w:r>
    </w:p>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w:t>
      </w:r>
      <w:r>
        <w:rPr>
          <w:u w:val="single"/>
        </w:rPr>
        <w:t xml:space="preserve">October 30, 2025</w:t>
      </w:r>
      <w:r>
        <w:t>[</w:t>
      </w:r>
      <w:r>
        <w:rPr>
          <w:strike w:val="true"/>
        </w:rPr>
        <w:t xml:space="preserve">April 16, 2025</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w:t>
      </w:r>
      <w:r>
        <w:rPr>
          <w:u w:val="single"/>
        </w:rPr>
        <w:t xml:space="preserve">October 30, 2025</w:t>
      </w:r>
      <w:r>
        <w:t>[</w:t>
      </w:r>
      <w:r>
        <w:rPr>
          <w:strike w:val="true"/>
        </w:rPr>
        <w:t xml:space="preserve">April 16, 2025</w:t>
      </w:r>
      <w:r>
        <w:t>]</w:t>
      </w:r>
      <w:r>
        <w:t xml:space="preserve">, and as revised.</w:t>
      </w:r>
    </w:p>
    <w:p>
      <w:pPr>
        <w:pStyle w:val="kar_paragraph"/>
      </w:pPr>
      <w:r>
        <w:t xml:space="preserve">(a)</w:t>
      </w:r>
      <w:r>
        <w:t xml:space="preserve"> </w:t>
      </w:r>
      <w:r>
        <w:t xml:space="preserve">Definitions, adopted March 20, 2024;</w:t>
      </w:r>
    </w:p>
    <w:p>
      <w:pPr>
        <w:pStyle w:val="kar_paragraph"/>
      </w:pPr>
      <w:r>
        <w:t xml:space="preserve">(b)</w:t>
      </w:r>
      <w:r>
        <w:t xml:space="preserve"> </w:t>
      </w:r>
      <w:r>
        <w:t xml:space="preserve">Data System Reporting Requirements, adopted March 20, 2024</w:t>
      </w:r>
      <w:r>
        <w:rPr>
          <w:u w:val="single"/>
        </w:rPr>
        <w:t xml:space="preserve"> and amended October 30, 2025;</w:t>
      </w:r>
      <w:r>
        <w:t>[</w:t>
      </w:r>
      <w:r>
        <w:rPr>
          <w:strike w:val="true"/>
        </w:rPr>
        <w:t xml:space="preserve">.;</w:t>
      </w:r>
      <w:r>
        <w:t>]</w:t>
      </w:r>
    </w:p>
    <w:p>
      <w:pPr>
        <w:pStyle w:val="kar_paragraph"/>
      </w:pPr>
      <w:r>
        <w:t xml:space="preserve">(c)</w:t>
      </w:r>
      <w:r>
        <w:t xml:space="preserve"> </w:t>
      </w:r>
      <w:r>
        <w:t xml:space="preserve">Implementation of Federal Bureau of Investigations Criminal Background </w:t>
      </w:r>
      <w:r>
        <w:rPr>
          <w:u w:val="single"/>
        </w:rPr>
        <w:t xml:space="preserve">Check </w:t>
      </w:r>
      <w:r>
        <w:t>[</w:t>
      </w:r>
      <w:r>
        <w:rPr>
          <w:strike w:val="true"/>
        </w:rPr>
        <w:t xml:space="preserve">Check </w:t>
      </w:r>
      <w:r>
        <w:t>]</w:t>
      </w:r>
      <w:r>
        <w:t xml:space="preserve">(FBI CBC) Requirement, adopted April 16, 2025</w:t>
      </w:r>
      <w:r>
        <w:rPr>
          <w:u w:val="single"/>
        </w:rPr>
        <w:t xml:space="preserve"> and amended October 30, 2025;</w:t>
      </w:r>
      <w:r>
        <w:t>[</w:t>
      </w:r>
      <w:r>
        <w:rPr>
          <w:strike w:val="true"/>
        </w:rPr>
        <w:t xml:space="preserve">.;</w:t>
      </w:r>
      <w:r>
        <w:t>]</w:t>
      </w:r>
    </w:p>
    <w:p>
      <w:pPr>
        <w:pStyle w:val="kar_paragraph"/>
      </w:pPr>
      <w:r>
        <w:t xml:space="preserve">(d)</w:t>
      </w:r>
      <w:r>
        <w:t xml:space="preserve"> </w:t>
      </w:r>
      <w:r>
        <w:t xml:space="preserve">Member State Implementation, adopted April 16, 2025</w:t>
      </w:r>
      <w:r>
        <w:rPr>
          <w:u w:val="single"/>
        </w:rPr>
        <w:t xml:space="preserve">;</w:t>
      </w:r>
      <w:r>
        <w:t>[</w:t>
      </w:r>
      <w:r>
        <w:rPr>
          <w:strike w:val="true"/>
        </w:rPr>
        <w:t xml:space="preserve">.;</w:t>
      </w:r>
      <w:r>
        <w:t>]</w:t>
      </w:r>
    </w:p>
    <w:p>
      <w:pPr>
        <w:pStyle w:val="kar_paragraph"/>
      </w:pPr>
      <w:r>
        <w:t xml:space="preserve">(e)</w:t>
      </w:r>
      <w:r>
        <w:t xml:space="preserve"> </w:t>
      </w:r>
      <w:r>
        <w:t xml:space="preserve">Occupational Therapy Compact Fees</w:t>
      </w:r>
      <w:r>
        <w:rPr>
          <w:u w:val="single"/>
        </w:rPr>
        <w:t xml:space="preserve">:</w:t>
      </w:r>
      <w:r>
        <w:t>[</w:t>
      </w:r>
      <w:r>
        <w:rPr>
          <w:strike w:val="true"/>
        </w:rPr>
        <w:t xml:space="preserve">(</w:t>
      </w:r>
      <w:r>
        <w:t>]</w:t>
      </w:r>
      <w:r>
        <w:t xml:space="preserve">Administrative and State</w:t>
      </w:r>
      <w:r>
        <w:t>[</w:t>
      </w:r>
      <w:r>
        <w:rPr>
          <w:strike w:val="true"/>
        </w:rPr>
        <w:t xml:space="preserve">)</w:t>
      </w:r>
      <w:r>
        <w:t>]</w:t>
      </w:r>
      <w:r>
        <w:t xml:space="preserve">, adopted April 16, 2025; and</w:t>
      </w:r>
    </w:p>
    <w:p>
      <w:pPr>
        <w:pStyle w:val="kar_paragraph"/>
      </w:pPr>
      <w:r>
        <w:t xml:space="preserve">(f)</w:t>
      </w:r>
      <w:r>
        <w:t xml:space="preserve"> </w:t>
      </w:r>
      <w:r>
        <w:t xml:space="preserve">Occupational Therapy National Exam</w:t>
      </w:r>
      <w:r>
        <w:rPr>
          <w:u w:val="single"/>
        </w:rPr>
        <w:t xml:space="preserve"> Definition</w:t>
      </w:r>
      <w:r>
        <w:t xml:space="preserve">,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w:t>
      </w:r>
      <w:r>
        <w:rPr>
          <w:u w:val="single"/>
        </w:rPr>
        <w:t xml:space="preserve">a.m. </w:t>
      </w:r>
      <w:r>
        <w:t>[</w:t>
      </w:r>
      <w:r>
        <w:rPr>
          <w:strike w:val="true"/>
        </w:rPr>
        <w:t xml:space="preserve">a.m.</w:t>
      </w:r>
      <w:r>
        <w:t>]</w:t>
      </w:r>
      <w:r>
        <w:t xml:space="preserve"> to 4:30 p.m.; or</w:t>
      </w:r>
    </w:p>
    <w:p>
      <w:pPr>
        <w:pStyle w:val="kar_paragraph"/>
      </w:pPr>
      <w:r>
        <w:t xml:space="preserve">(b)</w:t>
      </w:r>
      <w:r>
        <w:t xml:space="preserve"> </w:t>
      </w:r>
      <w:r>
        <w:t xml:space="preserve">This material may also be obtained on the Board of Licensure for Occupational Therapy </w:t>
      </w:r>
      <w:r>
        <w:rPr>
          <w:u w:val="single"/>
        </w:rPr>
        <w:t xml:space="preserve">website </w:t>
      </w:r>
      <w:r>
        <w:t>[</w:t>
      </w:r>
      <w:r>
        <w:rPr>
          <w:strike w:val="true"/>
        </w:rPr>
        <w:t xml:space="preserve">Web site</w:t>
      </w:r>
      <w:r>
        <w:t>]</w:t>
      </w:r>
      <w:r>
        <w:t xml:space="preserv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https://otcompact.gov/ot-compact-commission/governance-documents/.</w:t>
      </w:r>
    </w:p>
    <w:p>
      <w:pPr>
        <w:pStyle w:val="kar_signature"/>
      </w:pPr>
      <w:r>
        <w:t xml:space="preserve">SCOTT DEBURGER, Vice Chair</w:t>
      </w:r>
    </w:p>
    <w:p>
      <w:pPr>
        <w:pStyle w:val="kar_normal"/>
      </w:pPr>
      <w:r>
        <w:t xml:space="preserve"/>
      </w:r>
    </w:p>
    <w:p>
      <w:pPr>
        <w:pStyle w:val="kar_approved_by"/>
      </w:pPr>
      <w:r>
        <w:t xml:space="preserve">APPROVED BY AGENCY: October 9, 2025</w:t>
      </w:r>
    </w:p>
    <w:p>
      <w:pPr>
        <w:pStyle w:val="kar_filed"/>
      </w:pPr>
      <w:r>
        <w:t xml:space="preserve">FILED WITH LRC: December 8, 2025 at 3:30 p.m.</w:t>
      </w:r>
    </w:p>
    <w:p>
      <w:pPr>
        <w:pStyle w:val="kar_normal"/>
      </w:pPr>
      <w:r>
        <w:t xml:space="preserve"/>
      </w:r>
    </w:p>
    <w:p>
      <w:pPr>
        <w:pStyle w:val="kar_comment_period"/>
      </w:pPr>
      <w:r>
        <w:t xml:space="preserve">PUBLIC HEARING AND PUBLIC COMMENT PERIOD: A public hearing on this administrative regulation shall be held on February 23, 2026 at 10:00 a.m., at 500 Mero Street, PPC Conference Room 259SW,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Lilly Jean Coiner, Executive Advisor, Department of Professional Licensing, Office of Legal Services, 500 Mero Street, 2 NC WK#4 Frankfort, Kentucky 40601; phone (502) 262-5065 (office) fax (502) 564-4818, email Lilly.coiner@ky.gov.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Lilly Jean Coiner</w:t>
      </w:r>
    </w:p>
    <w:p>
      <w:pPr>
        <w:pStyle w:val="kar_normal"/>
        <w:ind w:left="0"/>
      </w:pPr>
      <w:r>
        <w:t xml:space="preserve">Subject Headings:</w:t>
      </w:r>
      <w:r>
        <w:t xml:space="preserve"> Occupational Therapy, Interstate Compacts,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KRS 319A.310, the Occupational Therapy Licensure Compact.</w:t>
      </w:r>
    </w:p>
    <w:p>
      <w:pPr>
        <w:pStyle w:val="kar_normal"/>
        <w:ind w:left="576"/>
      </w:pPr>
      <w:r>
        <w:t xml:space="preserve">(b) The necessity of this administrative regulation:</w:t>
      </w:r>
    </w:p>
    <w:p>
      <w:pPr>
        <w:pStyle w:val="kar_normal"/>
        <w:ind w:left="720"/>
      </w:pPr>
      <w:r>
        <w:t xml:space="preserve">This administrative regulation is necessary because KRS 319A.310, Section 15.B.1. requires rules adopted by the Occupational Therapy Compact Commission to be promulgated as administrative regulations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requirements of the authorizing statute, KRS 319A.310, Section 15.B.1. which requires rules adopted by the Occupational Therapy Licensure Compact to be promulgated as administrative regulations pursuant to KRS Chapter 13A.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conforms to the content of KRS 319A.310 which requires this promulgation.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add the amendments to two existing rules adopted October 30, 2025.</w:t>
      </w:r>
    </w:p>
    <w:p>
      <w:pPr>
        <w:pStyle w:val="kar_normal"/>
        <w:ind w:left="576"/>
      </w:pPr>
      <w:r>
        <w:t xml:space="preserve">(b) The necessity of the amendment to this administrative regulation:</w:t>
      </w:r>
    </w:p>
    <w:p>
      <w:pPr>
        <w:pStyle w:val="kar_normal"/>
        <w:ind w:left="720"/>
      </w:pPr>
      <w:r>
        <w:t xml:space="preserve">This administrative regulation is necessary because KRS 319A.310, Section 15.B.1. requires rules adopted by the Occupational Therapy Compact Commission to be promulgated as administrative regulations pursuant to KRS Chapter 13A.</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statutes by being filed within sixty (60) days of the adoption of the new rules by the Occupational Therapy Licensure Compact.</w:t>
      </w:r>
    </w:p>
    <w:p>
      <w:pPr>
        <w:pStyle w:val="kar_normal"/>
        <w:ind w:left="576"/>
      </w:pPr>
      <w:r>
        <w:t xml:space="preserve">(d) How the amendment will assist in the effective administration of the statutes:</w:t>
      </w:r>
    </w:p>
    <w:p>
      <w:pPr>
        <w:pStyle w:val="kar_normal"/>
        <w:ind w:left="720"/>
      </w:pPr>
      <w:r>
        <w:t xml:space="preserve">The amendment will ensure the Board and all affected licensees have access and full disclosure of the rules relating to the compact and the privilege to practice in Kentucky and other compact states.</w:t>
      </w:r>
    </w:p>
    <w:p>
      <w:pPr>
        <w:pStyle w:val="kar_normal"/>
        <w:ind w:left="288"/>
      </w:pPr>
      <w:r>
        <w:t xml:space="preserve">(3) Does this administrative regulation or amendment implement legislation from the previous five years?</w:t>
      </w:r>
      <w:r>
        <w:t xml:space="preserve"> Yes. See KRS 319A.310. Occupational Therapy Licensure Compact. Created 2022 Ky. Acts ch. 164, sec. 1, effective July 14, 2022.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the 4,227 licensees and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additional cost imposed by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As a result of compliance, they will be in compliance with the statute.(6) Provide an estimate of how much it will cost the administrative body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cost.</w:t>
      </w:r>
    </w:p>
    <w:p>
      <w:pPr>
        <w:pStyle w:val="kar_normal"/>
        <w:ind w:left="576"/>
      </w:pPr>
      <w:r>
        <w:t xml:space="preserve">(b) On a continuing basis:</w:t>
      </w:r>
    </w:p>
    <w:p>
      <w:pPr>
        <w:pStyle w:val="kar_normal"/>
        <w:ind w:left="720"/>
      </w:pPr>
      <w:r>
        <w:t xml:space="preserve">There is no continuing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was not applied as the changes apply to all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319A.070(1), (3) and KRS 319A.310. Additionally, interstate compacts are specifically authorized under the federal constitution (Article 1, Section 10, Clause 3- the Compacts Clause) and take precedence over any conflicting state law pursuant to the Compacts Clause and the Contracts Clause, U.S. Constitution, Article 1, Section 10, Clause 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not expressly authorized by an act of the Generally Assembly.</w:t>
      </w:r>
    </w:p>
    <w:p>
      <w:pPr>
        <w:pStyle w:val="kar_normal"/>
        <w:ind w:left="288"/>
      </w:pPr>
      <w:r>
        <w:t xml:space="preserve">(3)(a) Identify the promulgating agency and any other affected state units, parts, or divisions:</w:t>
      </w:r>
    </w:p>
    <w:p>
      <w:pPr>
        <w:pStyle w:val="kar_normal"/>
        <w:ind w:left="432"/>
      </w:pPr>
      <w:r>
        <w:t xml:space="preserve">The Kentucky Board of Licensure for Occupational Therapy is the promulgating agency and the only other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compact will likely become operational in 2025, however, the expenditures needed for the first year are currently indeterminable. There will likely be some state expenditures necessary for data system programming, administering applications for compact privileges within and without the Commonwealth, as well as administering complaint and enforcement actions for those with the privilege to practice in other states.</w:t>
      </w:r>
    </w:p>
    <w:p>
      <w:pPr>
        <w:pStyle w:val="kar_normal"/>
        <w:ind w:left="864"/>
      </w:pPr>
      <w:r>
        <w:t xml:space="preserve">For subsequent years:</w:t>
      </w:r>
      <w:r>
        <w:t xml:space="preserve"> It will likely take more than one year for the data system and compact to become operational. There will likely be some state expenditures necessary for administering applications for compact privileges within and without the Commonwealth and which may require imposition of a fee to cover the cost of administration. However, expenditures, revenue and cost savings in subsequent years, if any, are currently indeterminable.</w:t>
      </w:r>
    </w:p>
    <w:p>
      <w:pPr>
        <w:pStyle w:val="kar_normal"/>
        <w:ind w:left="576"/>
      </w:pPr>
      <w:r>
        <w:t xml:space="preserve">2. Revenues:</w:t>
      </w:r>
    </w:p>
    <w:p>
      <w:pPr>
        <w:pStyle w:val="kar_normal"/>
        <w:ind w:left="864"/>
      </w:pPr>
      <w:r>
        <w:t xml:space="preserve">For the first year:</w:t>
      </w:r>
      <w:r>
        <w:t xml:space="preserve"> If the compact becomes operational in Kentucky during the first year, The Board may require imposition of a fee to cover the cost of administration. However, at this time the potential revenues are undeterminable.</w:t>
      </w:r>
    </w:p>
    <w:p>
      <w:pPr>
        <w:pStyle w:val="kar_normal"/>
        <w:ind w:left="864"/>
      </w:pPr>
      <w:r>
        <w:t xml:space="preserve">For subsequent years:</w:t>
      </w:r>
      <w:r>
        <w:t xml:space="preserve"> It will likely take more than one year for the data system and compact to become operational. There will likely be some state expenditures necessary for administering applications for compact privileges within and without the Commonwealth and which may require imposition of a fee to cover the cost of administration. However, expenditures, revenue and cost savings in subsequent years, if any, are currently indeterminable.</w:t>
      </w:r>
    </w:p>
    <w:p>
      <w:pPr>
        <w:pStyle w:val="kar_normal"/>
        <w:ind w:left="576"/>
      </w:pPr>
      <w:r>
        <w:t xml:space="preserve">3. Cost Savings:</w:t>
      </w:r>
    </w:p>
    <w:p>
      <w:pPr>
        <w:pStyle w:val="kar_normal"/>
        <w:ind w:left="864"/>
      </w:pPr>
      <w:r>
        <w:t xml:space="preserve">For the first year:</w:t>
      </w:r>
      <w:r>
        <w:t xml:space="preserve"> Indeterminable</w:t>
      </w:r>
    </w:p>
    <w:p>
      <w:pPr>
        <w:pStyle w:val="kar_normal"/>
        <w:ind w:left="864"/>
      </w:pPr>
      <w:r>
        <w:t xml:space="preserve">For subsequent years:</w:t>
      </w:r>
      <w:r>
        <w:t xml:space="preserve"> Indeterminable</w:t>
      </w:r>
    </w:p>
    <w:p>
      <w:pPr>
        <w:pStyle w:val="kar_normal"/>
        <w:ind w:left="288"/>
      </w:pPr>
      <w:r>
        <w:t xml:space="preserve">(4)(a) Identify affected local entities (for example: cities, counties, fire departments, school districts):</w:t>
      </w:r>
    </w:p>
    <w:p>
      <w:pPr>
        <w:pStyle w:val="kar_normal"/>
        <w:ind w:left="432"/>
      </w:pPr>
      <w:r>
        <w:t xml:space="preserve">None anticipated. (b) Estimate the following for each affected local entity identified in 4(a):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other affected regulated entities not otherwise listed. (b) Estimate the following for each regulated identified in 5(a):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possible there will be a fiscal impact of administering applications for compact privileges for in-state licensees who apply for the privilege to practice in another state, and for out of state licensees who apply for the privilege to practice in Kentucky. The Compact Commission is in its infancy and the work to be conducted by the state board on behalf of the compact is yet to be determined.</w:t>
      </w:r>
    </w:p>
    <w:p>
      <w:pPr>
        <w:pStyle w:val="kar_normal"/>
        <w:ind w:left="288"/>
      </w:pPr>
      <w:r>
        <w:t xml:space="preserve">(b) Methodology and resources used to reach this conclusion:</w:t>
      </w:r>
    </w:p>
    <w:p>
      <w:pPr>
        <w:pStyle w:val="kar_normal"/>
        <w:ind w:left="432"/>
      </w:pPr>
      <w:r>
        <w:t xml:space="preserve">Methodology and resources are currently indeterminable since there are no known duties outlined for the state in relation to the compact; however, given the number of licensees, current budget and anticipated number of applications for out of state licensees to obtain the privilege to practice in Kentucky, no major economic impact is anticipated.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are currently indeterminable since there are no known duties outlined for the state in relation to the compact; however, given the number of licensees, current budget and anticipated number of applications for out of state licensees to obtain the privilege to practice in Kentucky,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52628faac54054" /><Relationship Type="http://schemas.openxmlformats.org/officeDocument/2006/relationships/settings" Target="/word/settings.xml" Id="Rbc75d0e5cfd54b85" /></Relationships>
</file>