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f379c0a3d64566" /></Relationships>
</file>

<file path=word/document.xml><?xml version="1.0" encoding="utf-8"?>
<w:document xmlns:w="http://schemas.openxmlformats.org/wordprocessingml/2006/main">
  <w:body>
    <w:p>
      <w:pPr>
        <w:pStyle w:val="kar_citation"/>
      </w:pPr>
      <w:r>
        <w:t>201 KAR 17:120.</w:t>
      </w:r>
      <w:r>
        <w:t xml:space="preserve"> </w:t>
      </w:r>
      <w:r>
        <w:t xml:space="preserve">Audiology and Speech-Language Pathology Interstate Compact.</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Audiology and Speech-Language Pathology Interstate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September 20,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September 20, 2025,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September 20, 2025; </w:t>
      </w:r>
    </w:p>
    <w:p>
      <w:pPr>
        <w:pStyle w:val="kar_paragraph"/>
      </w:pPr>
      <w:r>
        <w:t xml:space="preserve">(c)</w:t>
      </w:r>
      <w:r>
        <w:t xml:space="preserve"> </w:t>
      </w:r>
      <w:r>
        <w:t xml:space="preserve">Chapter 3 – Rule on Implementation of Criminal Background Check Requirement, adopted June, 30, 2025; and</w:t>
      </w:r>
    </w:p>
    <w:p>
      <w:pPr>
        <w:pStyle w:val="kar_paragraph"/>
      </w:pPr>
      <w:r>
        <w:t xml:space="preserve">(d)</w:t>
      </w:r>
      <w:r>
        <w:t xml:space="preserve"> </w:t>
      </w:r>
      <w:r>
        <w:t xml:space="preserve">Chapter 4 – Rulemaking on Fees, adopted June 30,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pPr>
      <w:r>
        <w:t xml:space="preserve">(b)</w:t>
      </w:r>
      <w:r>
        <w:t xml:space="preserve"> </w:t>
      </w:r>
      <w:r>
        <w:t xml:space="preserve">https://aslpcompact.com/commission/commission-governance-documents/.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017:20. 51 Ky.R. 1342, 1745; eff. 6-18-2025; 52 Ky.R. 604, 1119;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8e4b55de9546e6" /><Relationship Type="http://schemas.openxmlformats.org/officeDocument/2006/relationships/settings" Target="/word/settings.xml" Id="R2b4872cbf9b249ec" /></Relationships>
</file>