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b81ebf6691d402d"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Speech-Language Pathology and Audiology</w:t>
      </w:r>
    </w:p>
    <w:p>
      <w:pPr>
        <w:pStyle w:val="kar_markup_header"/>
        <w:ind w:firstLine="0"/>
      </w:pPr>
      <w:r>
        <w:t>(Amended at ARRS Committee)</w:t>
      </w:r>
    </w:p>
    <w:p>
      <w:pPr>
        <w:pStyle w:val="kar_citation"/>
      </w:pPr>
      <w:r>
        <w:t>201 KAR 17:120.</w:t>
      </w:r>
      <w:r>
        <w:t xml:space="preserve"> </w:t>
      </w:r>
      <w:r>
        <w:t xml:space="preserve">Audiology and Speech-Language Pathology Interstate Compact.</w:t>
      </w:r>
    </w:p>
    <w:p>
      <w:pPr>
        <w:pStyle w:val="kar_markup_metadata"/>
      </w:pPr>
      <w:r>
        <w:t xml:space="preserve">RELATES TO: </w:t>
      </w:r>
      <w:r>
        <w:t xml:space="preserve">KRS 334A.188</w:t>
      </w:r>
    </w:p>
    <w:p>
      <w:pPr>
        <w:pStyle w:val="kar_markup_metadata"/>
      </w:pPr>
      <w:r>
        <w:t xml:space="preserve">STATUTORY AUTHORITY: </w:t>
      </w:r>
      <w:r>
        <w:t xml:space="preserve">KRS 334A.080(3), 334A.188</w:t>
      </w:r>
    </w:p>
    <w:p>
      <w:pPr>
        <w:pStyle w:val="kar_markup_metadata"/>
      </w:pPr>
      <w:r>
        <w:t xml:space="preserve">NECESSITY, FUNCTION, AND CONFORMITY: </w:t>
      </w:r>
      <w:r>
        <w:t xml:space="preserve">KRS 334A.188, Section 15.B.1. requires the Board of Speech-Language Pathology and Audiology to review any rule adopted by the Audiology and Speech-Language Pathology Interstate Compact pursuant to Section 10 of KRS 334A.188 within sixty (60) days of adoption for the purpose of filing the rule as an emergency administrative regulation pursuant to KRS 13A.190 and for filing the rule as an accompanying ordinary administrative regulation pursuant to KRS Chapter 13A. This administrative regulation incorporates by reference the rules adopted by the Audiology and Speech-Language Pathology Interstate Compact.</w:t>
      </w:r>
    </w:p>
    <w:p>
      <w:pPr>
        <w:pStyle w:val="kar_section"/>
      </w:pPr>
      <w:r>
        <w:t xml:space="preserve">Section 1.</w:t>
      </w:r>
      <w:r>
        <w:t xml:space="preserve"> </w:t>
      </w:r>
      <w:r>
        <w:t xml:space="preserve">The Board of Speech-Language Pathology and Audiology shall comply with all rules of the Audiology and Speech-Language Pathology Interstate Compact, which includes the Audiology and Speech-Language Pathology Interstate Compact Rules as of </w:t>
      </w:r>
      <w:r>
        <w:rPr>
          <w:b/>
          <w:i/>
          <w:u w:val="single"/>
        </w:rPr>
        <w:t xml:space="preserve">September 20</w:t>
      </w:r>
      <w:r>
        <w:rPr>
          <w:b/>
          <w:i/>
        </w:rPr>
        <w:t xml:space="preserve">[</w:t>
      </w:r>
      <w:r>
        <w:rPr>
          <w:b/>
          <w:i/>
          <w:strike w:val="true"/>
          <w:u w:val="single"/>
        </w:rPr>
        <w:t xml:space="preserve">June 30</w:t>
      </w:r>
      <w:r>
        <w:rPr>
          <w:b/>
          <w:i/>
        </w:rPr>
        <w:t xml:space="preserve">]</w:t>
      </w:r>
      <w:r>
        <w:rPr>
          <w:u w:val="single"/>
        </w:rPr>
        <w:t xml:space="preserve">, 2025</w:t>
      </w:r>
      <w:r>
        <w:t xml:space="preserve">[</w:t>
      </w:r>
      <w:r>
        <w:rPr>
          <w:strike w:val="true"/>
        </w:rPr>
        <w:t xml:space="preserve">October 7, 2023</w:t>
      </w:r>
      <w:r>
        <w:t xml:space="preserve">]</w:t>
      </w:r>
      <w:r>
        <w:t xml:space="preserve">.</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The following material is incorporated by reference: "The Audiology and Speech-Language Pathology Interstate Compact Rules", </w:t>
      </w:r>
      <w:r>
        <w:rPr>
          <w:b/>
          <w:i/>
          <w:u w:val="single"/>
        </w:rPr>
        <w:t xml:space="preserve">September 20</w:t>
      </w:r>
      <w:r>
        <w:rPr>
          <w:b/>
          <w:i/>
        </w:rPr>
        <w:t xml:space="preserve">[</w:t>
      </w:r>
      <w:r>
        <w:rPr>
          <w:b/>
          <w:i/>
          <w:strike w:val="true"/>
          <w:u w:val="single"/>
        </w:rPr>
        <w:t xml:space="preserve">June 30</w:t>
      </w:r>
      <w:r>
        <w:rPr>
          <w:b/>
          <w:i/>
        </w:rPr>
        <w:t xml:space="preserve">]</w:t>
      </w:r>
      <w:r>
        <w:rPr>
          <w:u w:val="single"/>
        </w:rPr>
        <w:t xml:space="preserve">, 2025</w:t>
      </w:r>
      <w:r>
        <w:t xml:space="preserve">[</w:t>
      </w:r>
      <w:r>
        <w:rPr>
          <w:strike w:val="true"/>
        </w:rPr>
        <w:t xml:space="preserve">October 7, 2023</w:t>
      </w:r>
      <w:r>
        <w:t xml:space="preserve">]</w:t>
      </w:r>
      <w:r>
        <w:t xml:space="preserve">, and as revised.</w:t>
      </w:r>
    </w:p>
    <w:p>
      <w:pPr>
        <w:pStyle w:val="kar_paragraph"/>
      </w:pPr>
      <w:r>
        <w:t xml:space="preserve">(a)</w:t>
      </w:r>
      <w:r>
        <w:t xml:space="preserve"> </w:t>
      </w:r>
      <w:r>
        <w:t xml:space="preserve">Chapter 1 – Rule on Definitions, adopted April 17, 2023;</w:t>
      </w:r>
    </w:p>
    <w:p>
      <w:pPr>
        <w:pStyle w:val="kar_paragraph"/>
      </w:pPr>
      <w:r>
        <w:t xml:space="preserve">(b)</w:t>
      </w:r>
      <w:r>
        <w:t xml:space="preserve"> </w:t>
      </w:r>
      <w:r>
        <w:t xml:space="preserve">Chapter 2 – Rule on Data System Reporting Requirements, adopted </w:t>
      </w:r>
      <w:r>
        <w:rPr>
          <w:b/>
          <w:i/>
          <w:u w:val="single"/>
        </w:rPr>
        <w:t xml:space="preserve">September 20, 2025</w:t>
      </w:r>
      <w:r>
        <w:rPr>
          <w:b/>
          <w:i/>
        </w:rPr>
        <w:t xml:space="preserve">[</w:t>
      </w:r>
      <w:r>
        <w:rPr>
          <w:b/>
          <w:i/>
          <w:strike w:val="true"/>
        </w:rPr>
        <w:t xml:space="preserve">April 17, 2023</w:t>
      </w:r>
      <w:r>
        <w:rPr>
          <w:b/>
          <w:i/>
        </w:rPr>
        <w:t xml:space="preserve">]</w:t>
      </w:r>
      <w:r>
        <w:t xml:space="preserve">; </w:t>
      </w:r>
      <w:r>
        <w:rPr>
          <w:b/>
          <w:i/>
        </w:rPr>
        <w:t xml:space="preserve">[</w:t>
      </w:r>
      <w:r>
        <w:rPr>
          <w:b/>
          <w:i/>
          <w:strike w:val="true"/>
        </w:rPr>
        <w:t xml:space="preserve">and</w:t>
      </w:r>
      <w:r>
        <w:rPr>
          <w:b/>
          <w:i/>
        </w:rPr>
        <w:t xml:space="preserve">]</w:t>
      </w:r>
    </w:p>
    <w:p>
      <w:pPr>
        <w:pStyle w:val="kar_paragraph"/>
      </w:pPr>
      <w:r>
        <w:t xml:space="preserve">(c)</w:t>
      </w:r>
      <w:r>
        <w:t xml:space="preserve"> </w:t>
      </w:r>
      <w:r>
        <w:t xml:space="preserve">Chapter 3 – Rule on Implementation of Criminal Background Check Requirement, adopted </w:t>
      </w:r>
      <w:r>
        <w:rPr>
          <w:b/>
          <w:i/>
          <w:u w:val="single"/>
        </w:rPr>
        <w:t xml:space="preserve">June, 30, 2025; and</w:t>
      </w:r>
      <w:r>
        <w:rPr>
          <w:b/>
          <w:i/>
        </w:rPr>
        <w:t xml:space="preserve">[</w:t>
      </w:r>
      <w:r>
        <w:rPr>
          <w:b/>
          <w:i/>
          <w:strike w:val="true"/>
        </w:rPr>
        <w:t xml:space="preserve">October 7, 2023.</w:t>
      </w:r>
      <w:r>
        <w:rPr>
          <w:b/>
          <w:i/>
        </w:rPr>
        <w:t xml:space="preserve">]</w:t>
      </w:r>
    </w:p>
    <w:p>
      <w:pPr>
        <w:pStyle w:val="kar_paragraph"/>
      </w:pPr>
      <w:r>
        <w:rPr>
          <w:u w:val="single"/>
        </w:rPr>
        <w:t xml:space="preserve">(d)</w:t>
      </w:r>
      <w:r>
        <w:t xml:space="preserve"> </w:t>
      </w:r>
      <w:r>
        <w:rPr>
          <w:u w:val="single"/>
        </w:rPr>
        <w:t xml:space="preserve">Chapter 4 – Rulemaking on Fees, adopted June 30, 2025.</w:t>
      </w:r>
    </w:p>
    <w:p>
      <w:pPr>
        <w:pStyle w:val="kar_subsection"/>
      </w:pPr>
      <w:r>
        <w:t xml:space="preserve">(2)</w:t>
      </w:r>
      <w:r>
        <w:t xml:space="preserve"> </w:t>
      </w:r>
      <w:r>
        <w:t xml:space="preserve"> </w:t>
      </w:r>
    </w:p>
    <w:p>
      <w:pPr>
        <w:pStyle w:val="kar_paragraph"/>
      </w:pPr>
      <w:r>
        <w:t xml:space="preserve">(a)</w:t>
      </w:r>
      <w:r>
        <w:t xml:space="preserve"> </w:t>
      </w:r>
      <w:r>
        <w:t xml:space="preserve">This material may be inspected, copied, or obtained, subject to applicable copyright law, at the Board of Speech-Language Pathology and Audiology, 500 Mero Street, 2 SC 32, Frankfort, Kentucky 40602, Monday through Friday, 8 a.m. to 4:30 p.m.; or</w:t>
      </w:r>
    </w:p>
    <w:p>
      <w:pPr>
        <w:pStyle w:val="kar_paragraph"/>
      </w:pPr>
      <w:r>
        <w:t xml:space="preserve">(b)</w:t>
      </w:r>
      <w:r>
        <w:t xml:space="preserve"> </w:t>
      </w:r>
      <w:r>
        <w:t xml:space="preserve">This material may also be obtained on the Board of Speech-Language Pathology and Audiology </w:t>
      </w:r>
      <w:r>
        <w:rPr>
          <w:b/>
          <w:i/>
          <w:u w:val="single"/>
        </w:rPr>
        <w:t xml:space="preserve">website</w:t>
      </w:r>
      <w:r>
        <w:rPr>
          <w:b/>
          <w:i/>
        </w:rPr>
        <w:t xml:space="preserve">[</w:t>
      </w:r>
      <w:r>
        <w:rPr>
          <w:b/>
          <w:i/>
          <w:strike w:val="true"/>
        </w:rPr>
        <w:t xml:space="preserve">Web site</w:t>
      </w:r>
      <w:r>
        <w:rPr>
          <w:b/>
          <w:i/>
        </w:rPr>
        <w:t xml:space="preserve">]</w:t>
      </w:r>
      <w:r>
        <w:t xml:space="preserve"> at https://slp.ky.gov/.</w:t>
      </w:r>
    </w:p>
    <w:p>
      <w:pPr>
        <w:pStyle w:val="kar_subsection"/>
      </w:pPr>
      <w:r>
        <w:t xml:space="preserve">(3)</w:t>
      </w:r>
      <w:r>
        <w:t xml:space="preserve"> </w:t>
      </w:r>
      <w:r>
        <w:t xml:space="preserve">This material may also be obtained at:</w:t>
      </w:r>
    </w:p>
    <w:p>
      <w:pPr>
        <w:pStyle w:val="kar_paragraph"/>
      </w:pPr>
      <w:r>
        <w:t xml:space="preserve">(a)</w:t>
      </w:r>
      <w:r>
        <w:t xml:space="preserve"> </w:t>
      </w:r>
      <w:r>
        <w:t xml:space="preserve">The Audiology and Speech-Language Pathology Interstate Compact Commission, 1776 Avenue of the States, Lexington, Kentucky 40511; or</w:t>
      </w:r>
    </w:p>
    <w:p>
      <w:pPr>
        <w:pStyle w:val="kar_paragraph"/>
      </w:pPr>
      <w:r>
        <w:t xml:space="preserve">(b)</w:t>
      </w:r>
      <w:r>
        <w:t xml:space="preserve"> </w:t>
      </w:r>
      <w:r>
        <w:t xml:space="preserve">https://aslpcompact.com/commission/commission-governance-documents/.</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Sara Boswell Janes, Staff Attorney III, Department of Professional Licensing, Office of Legal Services, 500 Mero Street, 2 NC WK#2, Frankfort, Kentucky 40601; phone (502) 782-2709 (office), fax (502) 564-4818, email Sara.Janes@ky.gov. Link to public comment portal: https://ppc.ky.gov/reg_comment.aspx.</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910b0811aec4fa3" /><Relationship Type="http://schemas.openxmlformats.org/officeDocument/2006/relationships/settings" Target="/word/settings.xml" Id="R40b06404b7eb41be" /></Relationships>
</file>