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22ba6eef94cf3" /></Relationships>
</file>

<file path=word/document.xml><?xml version="1.0" encoding="utf-8"?>
<w:document xmlns:w="http://schemas.openxmlformats.org/wordprocessingml/2006/main">
  <w:body>
    <w:p>
      <w:pPr>
        <w:pStyle w:val="kar_citation"/>
      </w:pPr>
      <w:r>
        <w:t>907 KAR 8:020.</w:t>
      </w:r>
      <w:r>
        <w:t xml:space="preserve"> </w:t>
      </w:r>
      <w:r>
        <w:t xml:space="preserve">Independent physical therapy service coverage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205.622, 369.101-369.120, 42 C.F.R. 431.17, 440.130, 45 C.F.R. Part 164, 42 U.S.C. 1396d(a)(13)(C)</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physical therapy services provided by an independent physical therapist or physical therapy assistant working under the direct supervision of an independent physical therapist.</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provide and be reimbursed for physical therapy as an independent provider, a provider shall be:</w:t>
      </w:r>
    </w:p>
    <w:p>
      <w:pPr>
        <w:pStyle w:val="kar_subparagraph"/>
      </w:pPr>
      <w:r>
        <w:t xml:space="preserve">1.</w:t>
      </w:r>
      <w:r>
        <w:t xml:space="preserve"> </w:t>
      </w:r>
      <w:r>
        <w:t xml:space="preserve">Currently enrolled in the Kentucky Medicaid Program in accordance with 907 KAR 1:672;</w:t>
      </w:r>
    </w:p>
    <w:p>
      <w:pPr>
        <w:pStyle w:val="kar_subparagraph"/>
      </w:pPr>
      <w:r>
        <w:t xml:space="preserve">2.</w:t>
      </w:r>
      <w:r>
        <w:t xml:space="preserve"> </w:t>
      </w:r>
      <w:r>
        <w:t xml:space="preserve">Except as established in paragraph (b) of this subsection, currently participating in the Kentucky Medicaid Program in accordance with 907 KAR 1:671; and</w:t>
      </w:r>
    </w:p>
    <w:p>
      <w:pPr>
        <w:pStyle w:val="kar_subparagraph"/>
      </w:pPr>
      <w:r>
        <w:t xml:space="preserve">3.</w:t>
      </w:r>
      <w:r>
        <w:t xml:space="preserve"> </w:t>
      </w:r>
      <w:r>
        <w:t xml:space="preserve">Except as provided in subsection (2) of this section, a physical therapist.</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Physical therapy provided in accordance with Section 2 of this administrative regulation by a physical therapist assistant who works under the direct supervision of a physical therapist who meets the requirements in subsection (1) of this section shall be reimbursable if the physical therapist is the biller for the therapy.</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physical therapy if:</w:t>
      </w:r>
    </w:p>
    <w:p>
      <w:pPr>
        <w:pStyle w:val="kar_paragraph"/>
      </w:pPr>
      <w:r>
        <w:t xml:space="preserve">(a)</w:t>
      </w:r>
      <w:r>
        <w:t xml:space="preserve"> </w:t>
      </w:r>
      <w:r>
        <w:t xml:space="preserve">The therapy:</w:t>
      </w:r>
    </w:p>
    <w:p>
      <w:pPr>
        <w:pStyle w:val="kar_subparagraph"/>
      </w:pPr>
      <w:r>
        <w:t xml:space="preserve">1.</w:t>
      </w:r>
      <w:r>
        <w:t xml:space="preserve"> </w:t>
      </w:r>
      <w:r>
        <w:t xml:space="preserve">Is provided:</w:t>
      </w:r>
    </w:p>
    <w:p>
      <w:pPr>
        <w:pStyle w:val="kar_clause"/>
      </w:pPr>
      <w:r>
        <w:t xml:space="preserve">a.</w:t>
      </w:r>
      <w:r>
        <w:t xml:space="preserve"> </w:t>
      </w:r>
      <w:r>
        <w:t xml:space="preserve">By a:</w:t>
      </w:r>
    </w:p>
    <w:p>
      <w:pPr>
        <w:pStyle w:val="kar_subclause"/>
      </w:pPr>
      <w:r>
        <w:t xml:space="preserve">(i)</w:t>
      </w:r>
      <w:r>
        <w:t xml:space="preserve"> </w:t>
      </w:r>
      <w:r>
        <w:t xml:space="preserve">Physical therapist who meets the requirements in Section 1(1) of this administrative regulation; or</w:t>
      </w:r>
    </w:p>
    <w:p>
      <w:pPr>
        <w:pStyle w:val="kar_subclause"/>
      </w:pPr>
      <w:r>
        <w:t xml:space="preserve">(ii)</w:t>
      </w:r>
      <w:r>
        <w:t xml:space="preserve"> </w:t>
      </w:r>
      <w:r>
        <w:t xml:space="preserve">Physical therapist assistant who works under the direct supervision of a physical therapist who meets the requirements in Section 1(1) of this administrative regulation; and</w:t>
      </w:r>
    </w:p>
    <w:p>
      <w:pPr>
        <w:pStyle w:val="kar_clause"/>
      </w:pPr>
      <w:r>
        <w:t xml:space="preserve">b.</w:t>
      </w:r>
      <w:r>
        <w:t xml:space="preserve"> </w:t>
      </w:r>
      <w:r>
        <w:t xml:space="preserve">To a recipient;</w:t>
      </w:r>
    </w:p>
    <w:p>
      <w:pPr>
        <w:pStyle w:val="kar_subparagraph"/>
      </w:pPr>
      <w:r>
        <w:t xml:space="preserve">2.</w:t>
      </w:r>
      <w:r>
        <w:t xml:space="preserve"> </w:t>
      </w:r>
      <w:r>
        <w:t xml:space="preserve">Is ordered for the recipient by a physician, physician assistant, or advanced practice registered nurse for:</w:t>
      </w:r>
    </w:p>
    <w:p>
      <w:pPr>
        <w:pStyle w:val="kar_clause"/>
      </w:pPr>
      <w:r>
        <w:t xml:space="preserve">a.</w:t>
      </w:r>
      <w:r>
        <w:t xml:space="preserve"> </w:t>
      </w:r>
      <w:r>
        <w:t xml:space="preserve">Maximum reduction of a physical or intellectual disability; or</w:t>
      </w:r>
    </w:p>
    <w:p>
      <w:pPr>
        <w:pStyle w:val="kar_clause"/>
      </w:pPr>
      <w:r>
        <w:t xml:space="preserve">b.</w:t>
      </w:r>
      <w:r>
        <w:t xml:space="preserve"> </w:t>
      </w:r>
      <w:r>
        <w:t xml:space="preserve">Restoration of a recipient to the recipient's best possible functioning level; and</w:t>
      </w:r>
    </w:p>
    <w:p>
      <w:pPr>
        <w:pStyle w:val="kar_subparagraph"/>
      </w:pPr>
      <w:r>
        <w:t xml:space="preserve">3.</w:t>
      </w:r>
      <w:r>
        <w:t xml:space="preserve"> </w:t>
      </w:r>
      <w:r>
        <w:t xml:space="preserve">Is medically necessary; and</w:t>
      </w:r>
    </w:p>
    <w:p>
      <w:pPr>
        <w:pStyle w:val="kar_paragraph"/>
      </w:pPr>
      <w:r>
        <w:t xml:space="preserve">(b)</w:t>
      </w:r>
      <w:r>
        <w:t xml:space="preserve"> </w:t>
      </w:r>
      <w:r>
        <w:t xml:space="preserve">A specific amount of visits is requested for the recipient by a physical therapist, physician, physician assistant, or an advanced practice registered nurse.</w:t>
      </w:r>
    </w:p>
    <w:p>
      <w:pPr>
        <w:pStyle w:val="kar_subsection"/>
      </w:pPr>
      <w:r>
        <w:t xml:space="preserve">(2)</w:t>
      </w:r>
      <w:r>
        <w:t xml:space="preserve"> </w:t>
      </w:r>
      <w:r>
        <w:t xml:space="preserve"> </w:t>
      </w:r>
    </w:p>
    <w:p>
      <w:pPr>
        <w:pStyle w:val="kar_paragraph"/>
      </w:pPr>
      <w:r>
        <w:t xml:space="preserve">(a)</w:t>
      </w:r>
      <w:r>
        <w:t xml:space="preserve"> </w:t>
      </w:r>
      <w:r>
        <w:t xml:space="preserve">There shall be an annual limit of twenty (20) physical therapy visits per recipient per calendar year except as established in this subsection.</w:t>
      </w:r>
    </w:p>
    <w:p>
      <w:pPr>
        <w:pStyle w:val="kar_paragraph"/>
      </w:pPr>
      <w:r>
        <w:t xml:space="preserve">(b)</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(c)</w:t>
      </w:r>
      <w:r>
        <w:t xml:space="preserve"> </w:t>
      </w:r>
      <w:r>
        <w:t xml:space="preserve">Prior authorization by the department shall be required only for each therapy visit that exceeds the limit established in paragraph (a) of this subsection unless a managed care organization establishes a higher limit contractually with the provider.</w:t>
      </w:r>
    </w:p>
    <w:p>
      <w:pPr>
        <w:pStyle w:val="kar_paragraph"/>
      </w:pPr>
      <w:r>
        <w:t xml:space="preserve">(d)</w:t>
      </w:r>
      <w:r>
        <w:t xml:space="preserve"> </w:t>
      </w:r>
      <w:r>
        <w:t xml:space="preserve">The limit established in paragraph (a) of this subsection shall not apply to the list of diagnoses established in this paragraph. The therapy diagnosis codes referenced are for information purposes only and shall be updated, if necessary, by the department on an annual basis on any relevant fee schedules. These therapy diagnoses and diagnosis codes shall not be subject to a prior authorization requirement after meeting the visit limit in paragraph (a) of this subsection:</w:t>
      </w:r>
    </w:p>
    <w:p>
      <w:pPr>
        <w:pStyle w:val="kar_subparagraph"/>
      </w:pPr>
      <w:r>
        <w:t xml:space="preserve">1.</w:t>
      </w:r>
      <w:r>
        <w:t xml:space="preserve"> </w:t>
      </w:r>
      <w:r>
        <w:t xml:space="preserve">Cerebral palsy, currently referenced by  diagnosis code G80;</w:t>
      </w:r>
    </w:p>
    <w:p>
      <w:pPr>
        <w:pStyle w:val="kar_subparagraph"/>
      </w:pPr>
      <w:r>
        <w:t xml:space="preserve">2.</w:t>
      </w:r>
      <w:r>
        <w:t xml:space="preserve"> </w:t>
      </w:r>
      <w:r>
        <w:t xml:space="preserve">Amytrophic lateral sclerosis (ALS), currently referenced by  diagnosis code G12;</w:t>
      </w:r>
    </w:p>
    <w:p>
      <w:pPr>
        <w:pStyle w:val="kar_subparagraph"/>
      </w:pPr>
      <w:r>
        <w:t xml:space="preserve">3.</w:t>
      </w:r>
      <w:r>
        <w:t xml:space="preserve"> </w:t>
      </w:r>
      <w:r>
        <w:t xml:space="preserve">Spinal muscular atrophy (SMA), currently referenced by  diagnosis code G12;</w:t>
      </w:r>
    </w:p>
    <w:p>
      <w:pPr>
        <w:pStyle w:val="kar_subparagraph"/>
      </w:pPr>
      <w:r>
        <w:t xml:space="preserve">4.</w:t>
      </w:r>
      <w:r>
        <w:t xml:space="preserve"> </w:t>
      </w:r>
      <w:r>
        <w:t xml:space="preserve">Muscular dystrophy, currently referenced by  diagnosis code G71;</w:t>
      </w:r>
    </w:p>
    <w:p>
      <w:pPr>
        <w:pStyle w:val="kar_subparagraph"/>
      </w:pPr>
      <w:r>
        <w:t xml:space="preserve">5.</w:t>
      </w:r>
      <w:r>
        <w:t xml:space="preserve"> </w:t>
      </w:r>
      <w:r>
        <w:t xml:space="preserve">Multiple sclerosis, currently referenced by  diagnosis code G35;</w:t>
      </w:r>
    </w:p>
    <w:p>
      <w:pPr>
        <w:pStyle w:val="kar_subparagraph"/>
      </w:pPr>
      <w:r>
        <w:t xml:space="preserve">6.</w:t>
      </w:r>
      <w:r>
        <w:t xml:space="preserve"> </w:t>
      </w:r>
      <w:r>
        <w:t xml:space="preserve">Any traumatic brain injury currently referenced by  diagnosis code S06;</w:t>
      </w:r>
    </w:p>
    <w:p>
      <w:pPr>
        <w:pStyle w:val="kar_subparagraph"/>
      </w:pPr>
      <w:r>
        <w:t xml:space="preserve">7.</w:t>
      </w:r>
      <w:r>
        <w:t xml:space="preserve"> </w:t>
      </w:r>
      <w:r>
        <w:t xml:space="preserve">Parkinson's, currently referenced by  diagnosis code G20;</w:t>
      </w:r>
    </w:p>
    <w:p>
      <w:pPr>
        <w:pStyle w:val="kar_subparagraph"/>
      </w:pPr>
      <w:r>
        <w:t xml:space="preserve">8.</w:t>
      </w:r>
      <w:r>
        <w:t xml:space="preserve"> </w:t>
      </w:r>
      <w:r>
        <w:t xml:space="preserve">Alzheimer's disease, currently referenced by  diagnosis code G30;</w:t>
      </w:r>
    </w:p>
    <w:p>
      <w:pPr>
        <w:pStyle w:val="kar_subparagraph"/>
      </w:pPr>
      <w:r>
        <w:t xml:space="preserve">9.</w:t>
      </w:r>
      <w:r>
        <w:t xml:space="preserve"> </w:t>
      </w:r>
      <w:r>
        <w:t xml:space="preserve">Dementia, currently referenced by  diagnosis codes F01 to F03;</w:t>
      </w:r>
    </w:p>
    <w:p>
      <w:pPr>
        <w:pStyle w:val="kar_subparagraph"/>
      </w:pPr>
      <w:r>
        <w:t xml:space="preserve">10.</w:t>
      </w:r>
      <w:r>
        <w:t xml:space="preserve"> </w:t>
      </w:r>
      <w:r>
        <w:t xml:space="preserve">Frontotemporal dementia, currently referenced by diagnosis code G31;</w:t>
      </w:r>
    </w:p>
    <w:p>
      <w:pPr>
        <w:pStyle w:val="kar_subparagraph"/>
      </w:pPr>
      <w:r>
        <w:t xml:space="preserve">11.</w:t>
      </w:r>
      <w:r>
        <w:t xml:space="preserve"> </w:t>
      </w:r>
      <w:r>
        <w:t xml:space="preserve">Any intellectual disability currently referenced by diagnosis codes F70 to F79;</w:t>
      </w:r>
    </w:p>
    <w:p>
      <w:pPr>
        <w:pStyle w:val="kar_subparagraph"/>
      </w:pPr>
      <w:r>
        <w:t xml:space="preserve">12.</w:t>
      </w:r>
      <w:r>
        <w:t xml:space="preserve"> </w:t>
      </w:r>
      <w:r>
        <w:t xml:space="preserve">Ankylosing spondylitis, currently referenced by diagnosis code M45.9; or</w:t>
      </w:r>
    </w:p>
    <w:p>
      <w:pPr>
        <w:pStyle w:val="kar_subparagraph"/>
      </w:pPr>
      <w:r>
        <w:t xml:space="preserve">13.</w:t>
      </w:r>
      <w:r>
        <w:t xml:space="preserve"> </w:t>
      </w:r>
      <w:r>
        <w:t xml:space="preserve">Diffuse idiopathic skeletal hyperostosis (DISH), currently referenced by diagnosis code M48.1.</w:t>
      </w:r>
    </w:p>
    <w:p>
      <w:pPr>
        <w:pStyle w:val="kar_section"/>
      </w:pPr>
      <w:r>
        <w:t xml:space="preserve">Section 3.</w:t>
      </w:r>
      <w:r>
        <w:t xml:space="preserve"> </w:t>
      </w:r>
      <w:r>
        <w:t xml:space="preserve">No Duplication of Service.</w:t>
      </w:r>
    </w:p>
    <w:p>
      <w:pPr>
        <w:pStyle w:val="kar_subsection"/>
      </w:pPr>
      <w:r>
        <w:t xml:space="preserve">(1)</w:t>
      </w:r>
      <w:r>
        <w:t xml:space="preserve"> </w:t>
      </w:r>
      <w:r>
        <w:t xml:space="preserve">The department shall not reimburse for physical therapy provided to a recipient by more than one (1) provider of any program in which physical therapy is covered during the same time period.</w:t>
      </w:r>
    </w:p>
    <w:p>
      <w:pPr>
        <w:pStyle w:val="kar_subsection"/>
      </w:pPr>
      <w:r>
        <w:t xml:space="preserve">(2)</w:t>
      </w:r>
      <w:r>
        <w:t xml:space="preserve"> </w:t>
      </w:r>
      <w:r>
        <w:t xml:space="preserve">For example, if a recipient is receiving physical therapy from a physical therapist enrolled with the Medicaid program, the department shall not reimburse for physical therapy provided to the same recipient during the same time period by  the home health program.</w:t>
      </w:r>
    </w:p>
    <w:p>
      <w:pPr>
        <w:pStyle w:val="kar_section"/>
      </w:pPr>
      <w:r>
        <w:t xml:space="preserve">Section 4.</w:t>
      </w:r>
      <w:r>
        <w:t xml:space="preserve"> </w:t>
      </w:r>
      <w:r>
        <w:t xml:space="preserve">Records Maintenance, Protection, and Security.</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 and</w:t>
      </w:r>
    </w:p>
    <w:p>
      <w:pPr>
        <w:pStyle w:val="kar_subparagraph"/>
      </w:pPr>
      <w:r>
        <w:t xml:space="preserve">2.</w:t>
      </w:r>
      <w:r>
        <w:t xml:space="preserve"> </w:t>
      </w:r>
      <w:r>
        <w:t xml:space="preserve">The individual who provided the service shall date and sign the health record within seventy-two (72) hours of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seven (7) years from the date of the service or until any audit dispute or issue is resolved beyond five (5) years; and</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5.</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008:020. 40 Ky.R. 2045; 2767; eff. 7-7-2014; Crt eff. 12-6-2019; 52 Ky.R. 642, 1144; eff. 1-22-2026.)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553aacaff4eb8" /><Relationship Type="http://schemas.openxmlformats.org/officeDocument/2006/relationships/settings" Target="/word/settings.xml" Id="Re063e71b634b4626" /></Relationships>
</file>