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1c03f529794ec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Unemployment Insurance</w:t>
      </w:r>
    </w:p>
    <w:p>
      <w:pPr>
        <w:pStyle w:val="kar_markup_header"/>
        <w:ind w:firstLine="0"/>
      </w:pPr>
      <w:r>
        <w:t>(Amendment)</w:t>
      </w:r>
    </w:p>
    <w:p>
      <w:pPr>
        <w:pStyle w:val="kar_citation"/>
      </w:pPr>
      <w:r>
        <w:t>787 KAR 1:370.</w:t>
      </w:r>
      <w:r>
        <w:t xml:space="preserve"> </w:t>
      </w:r>
      <w:r>
        <w:t xml:space="preserve">Professional Employer </w:t>
      </w:r>
      <w:r>
        <w:rPr>
          <w:u w:val="single"/>
        </w:rPr>
        <w:t xml:space="preserve">Organization Contribution and Reporting Requirements</w:t>
      </w:r>
      <w:r>
        <w:t>[</w:t>
      </w:r>
      <w:r>
        <w:rPr>
          <w:strike w:val="true"/>
        </w:rPr>
        <w:t xml:space="preserve">Organizations</w:t>
      </w:r>
      <w:r>
        <w:t>]</w:t>
      </w:r>
      <w:r>
        <w:t xml:space="preserve">.</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w:t>
      </w:r>
      <w:r>
        <w:rPr>
          <w:u w:val="single"/>
        </w:rPr>
        <w:t xml:space="preserve">the treatment of experience history transfers, and </w:t>
      </w:r>
      <w:r>
        <w:t xml:space="preserve">the </w:t>
      </w:r>
      <w:r>
        <w:rPr>
          <w:u w:val="single"/>
        </w:rPr>
        <w:t xml:space="preserve">application</w:t>
      </w:r>
      <w:r>
        <w:t>[</w:t>
      </w:r>
      <w:r>
        <w:rPr>
          <w:strike w:val="true"/>
        </w:rPr>
        <w:t xml:space="preserve">effect</w:t>
      </w:r>
      <w:r>
        <w:t>]</w:t>
      </w:r>
      <w:r>
        <w:t xml:space="preserve"> of successorship </w:t>
      </w:r>
      <w:r>
        <w:rPr>
          <w:u w:val="single"/>
        </w:rPr>
        <w:t xml:space="preserve">provisions under KRS Chapter 341</w:t>
      </w:r>
      <w:r>
        <w:t xml:space="preserve">,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"Benefit experience history" means the benefit charges and other experience rating data maintained for a client employer under KRS Chapter 341 that are used to determine the employer's contribution rate.</w:t>
      </w:r>
    </w:p>
    <w:p>
      <w:pPr>
        <w:pStyle w:val="kar_subsection"/>
      </w:pPr>
      <w:r>
        <w:rPr>
          <w:u w:val="single"/>
        </w:rPr>
        <w:t xml:space="preserve">(2)</w:t>
      </w:r>
      <w:r>
        <w:t>[</w:t>
      </w:r>
      <w:r>
        <w:rPr>
          <w:strike w:val="true"/>
        </w:rPr>
        <w:t xml:space="preserve">(1)</w:t>
      </w:r>
      <w:r>
        <w:t>]</w:t>
      </w:r>
      <w:r>
        <w:t xml:space="preserve"> </w:t>
      </w:r>
      <w:r>
        <w:t xml:space="preserve">"Client" is defined by KRS 336.232(1).</w:t>
      </w:r>
    </w:p>
    <w:p>
      <w:pPr>
        <w:pStyle w:val="kar_subsection"/>
      </w:pPr>
      <w:r>
        <w:t>[</w:t>
      </w:r>
      <w:r>
        <w:rPr>
          <w:strike w:val="true"/>
        </w:rPr>
        <w:t xml:space="preserve">(2)</w:t>
      </w:r>
      <w:r>
        <w:t>]</w:t>
      </w:r>
      <w:r>
        <w:t xml:space="preserve"> </w:t>
      </w:r>
      <w:r>
        <w:t>[</w:t>
      </w:r>
      <w:r>
        <w:rPr>
          <w:strike w:val="true"/>
        </w:rPr>
        <w:t xml:space="preserve">"Covered employee" is defined by KRS 336.232(4).</w:t>
      </w:r>
      <w:r>
        <w:t>]</w:t>
      </w:r>
    </w:p>
    <w:p>
      <w:pPr>
        <w:pStyle w:val="kar_subsection"/>
      </w:pPr>
      <w:r>
        <w:rPr>
          <w:u w:val="single"/>
        </w:rPr>
        <w:t xml:space="preserve">(3)</w:t>
      </w:r>
      <w:r>
        <w:t xml:space="preserve"> </w:t>
      </w:r>
      <w:r>
        <w:rPr>
          <w:u w:val="single"/>
        </w:rPr>
        <w:t xml:space="preserve">"Election" means the selection made by a PEO pursuant to KRS 336.248(1) regarding the reporting and payment of unemployment insurance contributions.</w:t>
      </w:r>
    </w:p>
    <w:p>
      <w:pPr>
        <w:pStyle w:val="kar_subsection"/>
      </w:pPr>
      <w:r>
        <w:rPr>
          <w:u w:val="single"/>
        </w:rPr>
        <w:t xml:space="preserve">(4)</w:t>
      </w:r>
      <w:r>
        <w:t xml:space="preserve"> </w:t>
      </w:r>
      <w:r>
        <w:rPr>
          <w:u w:val="single"/>
        </w:rPr>
        <w:t xml:space="preserve">"Professional employer agreement" means an agreement as defined in KRS 336.236.</w:t>
      </w:r>
    </w:p>
    <w:p>
      <w:pPr>
        <w:pStyle w:val="kar_subsection"/>
      </w:pPr>
      <w:r>
        <w:rPr>
          <w:u w:val="single"/>
        </w:rPr>
        <w:t xml:space="preserve">(5)</w:t>
      </w:r>
      <w:r>
        <w:t>[</w:t>
      </w:r>
      <w:r>
        <w:rPr>
          <w:strike w:val="true"/>
        </w:rPr>
        <w:t xml:space="preserve">(3)</w:t>
      </w:r>
      <w:r>
        <w:t>]</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 </w:t>
      </w:r>
      <w:r>
        <w:rPr>
          <w:u w:val="single"/>
        </w:rPr>
        <w:t xml:space="preserve">and election of contribution</w:t>
      </w:r>
    </w:p>
    <w:p>
      <w:pPr>
        <w:pStyle w:val="kar_subsection"/>
      </w:pPr>
      <w:r>
        <w:t xml:space="preserve">(1)</w:t>
      </w:r>
      <w:r>
        <w:t xml:space="preserve"> </w:t>
      </w:r>
      <w:r>
        <w:t xml:space="preserve">A professional employer organization ("PEO") shall </w:t>
      </w:r>
      <w:r>
        <w:rPr>
          <w:u w:val="single"/>
        </w:rPr>
        <w:t xml:space="preserve">submit its initial election to report and pay unemployment insurance contributions pursuant to KRS 336.248(1) on the application provided in subsection (4). The Office shall apply the PEO's election to all clients covered under the PEO agreement as of the effective date of the election.</w:t>
      </w:r>
    </w:p>
    <w:p>
      <w:pPr>
        <w:pStyle w:val="kar_subsection"/>
      </w:pPr>
      <w:r>
        <w:rPr>
          <w:u w:val="single"/>
        </w:rPr>
        <w:t xml:space="preserve">(2)</w:t>
      </w:r>
      <w:r>
        <w:t xml:space="preserve"> </w:t>
      </w:r>
      <w:r>
        <w:rPr>
          <w:u w:val="single"/>
        </w:rPr>
        <w:t xml:space="preserve">The PEO shall </w:t>
      </w:r>
      <w:r>
        <w:t xml:space="preserve">keep separate records </w:t>
      </w:r>
      <w:r>
        <w:rPr>
          <w:u w:val="single"/>
        </w:rPr>
        <w:t xml:space="preserve">for each client </w:t>
      </w:r>
      <w:r>
        <w:t xml:space="preserve">and submit separate state unemployment insurance wage and premium reports to the Office of Unemployment Insurance (OUI) using the Unemployment Insurance Self-Service Web Portal located at https://kewes.ky.gov</w:t>
      </w:r>
      <w:r>
        <w:rPr>
          <w:u w:val="single"/>
        </w:rPr>
        <w:t xml:space="preserve">.</w:t>
      </w:r>
      <w:r>
        <w:t>[</w:t>
      </w:r>
      <w:r>
        <w:rPr>
          <w:strike w:val="true"/>
        </w:rPr>
        <w:t xml:space="preserve">,</w:t>
      </w:r>
      <w:r>
        <w:t>]</w:t>
      </w:r>
      <w:r>
        <w:rPr>
          <w:u w:val="single"/>
        </w:rPr>
        <w:t xml:space="preserve">The PEO shall submit all required unemployment contribution payments associated with those reports in a timely manner. Wage and premium reports shall be filed</w:t>
      </w:r>
      <w:r>
        <w:t>[</w:t>
      </w:r>
      <w:r>
        <w:rPr>
          <w:strike w:val="true"/>
        </w:rPr>
        <w:t xml:space="preserve">with payments to report the covered employees of each client by</w:t>
      </w:r>
      <w:r>
        <w:t>]</w:t>
      </w:r>
      <w:r>
        <w:t xml:space="preserve"> using the client's state employer account number</w:t>
      </w:r>
      <w:r>
        <w:t>[</w:t>
      </w:r>
      <w:r>
        <w:rPr>
          <w:strike w:val="true"/>
        </w:rPr>
        <w:t xml:space="preserve">as provided for in subsection (2)</w:t>
      </w:r>
      <w:r>
        <w:t>]</w:t>
      </w:r>
      <w:r>
        <w:t xml:space="preserve">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rPr>
          <w:u w:val="single"/>
        </w:rPr>
        <w:t xml:space="preserve">(3)</w:t>
      </w:r>
      <w:r>
        <w:t xml:space="preserve"> </w:t>
      </w:r>
      <w:r>
        <w:rPr>
          <w:u w:val="single"/>
        </w:rPr>
        <w:t xml:space="preserve">If a PEO elects the client account method under KRS 336.248(1)(b):</w:t>
      </w:r>
    </w:p>
    <w:p>
      <w:pPr>
        <w:pStyle w:val="kar_paragraph"/>
      </w:pPr>
      <w:r>
        <w:rPr>
          <w:u w:val="single"/>
        </w:rPr>
        <w:t xml:space="preserve">(a)</w:t>
      </w:r>
      <w:r>
        <w:t xml:space="preserve"> </w:t>
      </w:r>
      <w:r>
        <w:rPr>
          <w:u w:val="single"/>
        </w:rPr>
        <w:t xml:space="preserve">The PEO shall file unemployment insurance reports and pay contributions on a client-by-client basis; and</w:t>
      </w:r>
    </w:p>
    <w:p>
      <w:pPr>
        <w:pStyle w:val="kar_paragraph"/>
      </w:pPr>
      <w:r>
        <w:rPr>
          <w:u w:val="single"/>
        </w:rPr>
        <w:t xml:space="preserve">(b)</w:t>
      </w:r>
      <w:r>
        <w:t xml:space="preserve"> </w:t>
      </w:r>
      <w:r>
        <w:rPr>
          <w:u w:val="single"/>
        </w:rPr>
        <w:t xml:space="preserve">The client's benefit experience history, as defined in Section 1(3) of this regulation, shall be transferred by the Office to the account assigned to that client as co-employer, as required by KRS 336.248(1)(b)(3)(b).</w:t>
      </w:r>
    </w:p>
    <w:p>
      <w:pPr>
        <w:pStyle w:val="kar_subsection"/>
      </w:pPr>
      <w:r>
        <w:rPr>
          <w:u w:val="single"/>
        </w:rPr>
        <w:t xml:space="preserve">(4)</w:t>
      </w:r>
      <w:r>
        <w:t>[</w:t>
      </w:r>
      <w:r>
        <w:rPr>
          <w:strike w:val="true"/>
        </w:rPr>
        <w:t xml:space="preserve">(2)</w:t>
      </w:r>
      <w:r>
        <w:t>]</w:t>
      </w:r>
      <w:r>
        <w:t xml:space="preserve"> </w:t>
      </w:r>
      <w:r>
        <w:t xml:space="preserve"> </w:t>
      </w:r>
    </w:p>
    <w:p>
      <w:pPr>
        <w:pStyle w:val="kar_paragraph"/>
      </w:pPr>
      <w:r>
        <w:t xml:space="preserve">(a)</w:t>
      </w:r>
      <w:r>
        <w:t xml:space="preserve"> </w:t>
      </w:r>
      <w:r>
        <w:rPr>
          <w:u w:val="single"/>
        </w:rPr>
        <w:t xml:space="preserve">A</w:t>
      </w:r>
      <w:r>
        <w:t>[</w:t>
      </w:r>
      <w:r>
        <w:rPr>
          <w:strike w:val="true"/>
        </w:rPr>
        <w:t xml:space="preserve">For each</w:t>
      </w:r>
      <w:r>
        <w:t>]</w:t>
      </w:r>
      <w:r>
        <w:t xml:space="preserve"> PEO having one (1) or more covered employees with a client in this state</w:t>
      </w:r>
      <w:r>
        <w:t>[</w:t>
      </w:r>
      <w:r>
        <w:rPr>
          <w:strike w:val="true"/>
        </w:rPr>
        <w:t xml:space="preserve">, the PEO</w:t>
      </w:r>
      <w:r>
        <w:t>]</w:t>
      </w:r>
      <w:r>
        <w:t xml:space="preserve">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w:t>
      </w:r>
      <w:r>
        <w:rPr>
          <w:u w:val="single"/>
        </w:rPr>
        <w:t xml:space="preserve">PEO</w:t>
      </w:r>
      <w:r>
        <w:t>[</w:t>
      </w:r>
      <w:r>
        <w:rPr>
          <w:strike w:val="true"/>
        </w:rPr>
        <w:t xml:space="preserve">professional employer organization</w:t>
      </w:r>
      <w:r>
        <w:t>]</w:t>
      </w:r>
      <w:r>
        <w:t xml:space="preserve"> shall </w:t>
      </w:r>
      <w:r>
        <w:rPr>
          <w:u w:val="single"/>
        </w:rPr>
        <w:t xml:space="preserve">not </w:t>
      </w:r>
      <w:r>
        <w:t xml:space="preserve">be assigned the new employer</w:t>
      </w:r>
      <w:r>
        <w:t>[</w:t>
      </w:r>
      <w:r>
        <w:rPr>
          <w:strike w:val="true"/>
        </w:rPr>
        <w:t xml:space="preserve"> premium</w:t>
      </w:r>
      <w:r>
        <w:t>]</w:t>
      </w:r>
      <w:r>
        <w:t xml:space="preserve"> rate </w:t>
      </w:r>
      <w:r>
        <w:rPr>
          <w:u w:val="single"/>
        </w:rPr>
        <w:t xml:space="preserve">for a</w:t>
      </w:r>
      <w:r>
        <w:t>[</w:t>
      </w:r>
      <w:r>
        <w:rPr>
          <w:strike w:val="true"/>
        </w:rPr>
        <w:t xml:space="preserve">based upon the reserve ratio of the PEO's industrial classification.</w:t>
      </w:r>
      <w:r>
        <w:t>]</w:t>
      </w:r>
      <w:r>
        <w:t xml:space="preserve"> client </w:t>
      </w:r>
      <w:r>
        <w:rPr>
          <w:u w:val="single"/>
        </w:rPr>
        <w:t xml:space="preserve">that </w:t>
      </w:r>
      <w:r>
        <w:t xml:space="preserve">has benefit experience history as defined in Section 1 of this regulation. The contribution rate for each client shall be based on that client's experience in accordance with KRS Chapter 341</w:t>
      </w:r>
      <w:r>
        <w:rPr>
          <w:u w:val="single"/>
        </w:rPr>
        <w:t xml:space="preserve">.</w:t>
      </w:r>
    </w:p>
    <w:p>
      <w:pPr>
        <w:pStyle w:val="kar_section"/>
      </w:pPr>
      <w:r>
        <w:t xml:space="preserve">Section 3.</w:t>
      </w:r>
      <w:r>
        <w:t xml:space="preserve"> </w:t>
      </w:r>
      <w:r>
        <w:t xml:space="preserve">Effect of successorship.</w:t>
      </w:r>
    </w:p>
    <w:p>
      <w:pPr>
        <w:pStyle w:val="kar_subsection"/>
      </w:pPr>
      <w:r>
        <w:rPr>
          <w:u w:val="single"/>
        </w:rPr>
        <w:t xml:space="preserve">(1)</w:t>
      </w:r>
      <w:r>
        <w:t xml:space="preserve"> </w:t>
      </w:r>
      <w:r>
        <w:rPr>
          <w:u w:val="single"/>
        </w:rPr>
        <w:t xml:space="preserve">The transfer of benefit experience history required under KRS 336.248(1)(b)(3)(b) shall occur without regard to</w:t>
      </w:r>
      <w:r>
        <w:t>[</w:t>
      </w:r>
      <w:r>
        <w:rPr>
          <w:strike w:val="true"/>
        </w:rPr>
        <w:t xml:space="preserve">A PEO shall not be considered a successor employer to any client and shall not acquire the experience history of any client with whom there is not any</w:t>
      </w:r>
      <w:r>
        <w:t>]</w:t>
      </w:r>
      <w:r>
        <w:t xml:space="preserve"> common ownership, management or control. The client, upon terminating its relationship with the PEO, shall </w:t>
      </w:r>
      <w:r>
        <w:rPr>
          <w:u w:val="single"/>
        </w:rPr>
        <w:t xml:space="preserve">retain its own reserve account and shall not acquire any portion of the</w:t>
      </w:r>
      <w:r>
        <w:t>[</w:t>
      </w:r>
      <w:r>
        <w:rPr>
          <w:strike w:val="true"/>
        </w:rPr>
        <w:t xml:space="preserve">not be considered a successor employer to the PEO and shall not acquire any portion of the experience history of the aggregate</w:t>
      </w:r>
      <w:r>
        <w:t>]</w:t>
      </w:r>
      <w:r>
        <w:t xml:space="preserve"> reserve account of the PEO </w:t>
      </w:r>
      <w:r>
        <w:rPr>
          <w:u w:val="single"/>
        </w:rPr>
        <w:t xml:space="preserve">unless otherwise required under KRS Chapter 341</w:t>
      </w:r>
      <w:r>
        <w:t>[</w:t>
      </w:r>
      <w:r>
        <w:rPr>
          <w:strike w:val="true"/>
        </w:rPr>
        <w:t xml:space="preserve">with whom there is not any common ownership, management, or control. For purposes of this regulation, the existence of a professional employer agreement, without other evidence of common control, shall not constitute common ownership, management, or control</w:t>
      </w:r>
      <w:r>
        <w:t>]</w:t>
      </w:r>
      <w:r>
        <w:t xml:space="preserve">.</w:t>
      </w:r>
    </w:p>
    <w:p>
      <w:pPr>
        <w:pStyle w:val="kar_subsection"/>
      </w:pPr>
      <w:r>
        <w:rPr>
          <w:u w:val="single"/>
        </w:rPr>
        <w:t xml:space="preserve">(2)</w:t>
      </w:r>
      <w:r>
        <w:t xml:space="preserve"> </w:t>
      </w:r>
      <w:r>
        <w:rPr>
          <w:u w:val="single"/>
        </w:rPr>
        <w:t xml:space="preserve">The provisions of KRS 341.540 regarding successor employers shall not apply to a PEO or a client employer based solely on the existence of a professional employer agreement.</w:t>
      </w:r>
    </w:p>
    <w:p>
      <w:pPr>
        <w:pStyle w:val="kar_section"/>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 </w:t>
      </w:r>
      <w:r>
        <w:rPr>
          <w:u w:val="single"/>
        </w:rPr>
        <w:t xml:space="preserve">Any changes to the initial election are effective in the calendar year following the date the Office approves the change in accordance with KRS 336.248(5).</w:t>
      </w:r>
    </w:p>
    <w:p>
      <w:pPr>
        <w:pStyle w:val="kar_signature"/>
      </w:pPr>
      <w:r>
        <w:t xml:space="preserve">JAMIE LINK, Secretary</w:t>
      </w:r>
    </w:p>
    <w:p>
      <w:pPr>
        <w:pStyle w:val="kar_normal"/>
      </w:pPr>
      <w:r>
        <w:t xml:space="preserve"/>
      </w:r>
    </w:p>
    <w:p>
      <w:pPr>
        <w:pStyle w:val="kar_approved_by"/>
      </w:pPr>
      <w:r>
        <w:t xml:space="preserve">APPROVED BY AGENCY: December 15, 2025</w:t>
      </w:r>
    </w:p>
    <w:p>
      <w:pPr>
        <w:pStyle w:val="kar_filed"/>
      </w:pPr>
      <w:r>
        <w:t xml:space="preserve">FILED WITH LRC: December 15, 2025 at 11:57 a.m.</w:t>
      </w:r>
    </w:p>
    <w:p>
      <w:pPr>
        <w:pStyle w:val="kar_normal"/>
      </w:pPr>
      <w:r>
        <w:t xml:space="preserve"/>
      </w:r>
    </w:p>
    <w:p>
      <w:pPr>
        <w:pStyle w:val="kar_comment_period"/>
      </w:pPr>
      <w:r>
        <w:t xml:space="preserve">PUBLIC HEARING AND PUBLIC COMMENT PERIOD: A public hearing on this administrative regulation shall be held on February 21, 2026, at 9:00am,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Haley Presley, Deputy Executive Director, Office of Unemployment Insurance, 500 Mero Street, Third Floor, Frankfort, KY 40601, 502-782-3132, haleys.presley@ky.gov</w:t>
      </w:r>
    </w:p>
    <w:p>
      <w:pPr>
        <w:pStyle w:val="kar_form_name"/>
      </w:pPr>
      <w:r>
        <w:t xml:space="preserve">REGULATORY IMPACT ANALYSIS AND TIERING STATEMENT</w:t>
      </w:r>
    </w:p>
    <w:p>
      <w:pPr>
        <w:pStyle w:val="kar_normal"/>
        <w:ind w:left="0"/>
      </w:pPr>
      <w:r>
        <w:t xml:space="preserve">Contact Person:</w:t>
      </w:r>
      <w:r>
        <w:t xml:space="preserve"> Haley Presley </w:t>
      </w:r>
    </w:p>
    <w:p>
      <w:pPr>
        <w:pStyle w:val="kar_normal"/>
        <w:ind w:left="0"/>
      </w:pPr>
      <w:r>
        <w:t xml:space="preserve">Subject Headings:</w:t>
      </w:r>
      <w:r>
        <w:t xml:space="preserve"> Unemployment, Workforce Development, Insurance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contribution-rate assignment rules and reporting requirements for Professional Employer Organizations (PEOs) and their client employers for purposes of unemployment insurance (UI) taxation.</w:t>
      </w:r>
    </w:p>
    <w:p>
      <w:pPr>
        <w:pStyle w:val="kar_normal"/>
        <w:ind w:left="576"/>
      </w:pPr>
      <w:r>
        <w:t xml:space="preserve">(b) The necessity of this administrative regulation:</w:t>
      </w:r>
    </w:p>
    <w:p>
      <w:pPr>
        <w:pStyle w:val="kar_normal"/>
        <w:ind w:left="720"/>
      </w:pPr>
      <w:r>
        <w:t xml:space="preserve">KRS 336.248 and KRS 341.115 require the Education and Labor Cabinet to promulgate regulations governing contribution reporting, PEO elections, and UI rate assignment.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instructions for calculating UI contribution rates for PEOs and client employers.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PEOs and client employers will have clear and consistent instructions for reporting wages and contributions, ensuring accurate and uniform application of UI tax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that benefit-experience history must transfer when a PEO elects client-level reporting, adds definitions and instructions necessary for accurate rate assignment.</w:t>
      </w:r>
    </w:p>
    <w:p>
      <w:pPr>
        <w:pStyle w:val="kar_normal"/>
        <w:ind w:left="576"/>
      </w:pPr>
      <w:r>
        <w:t xml:space="preserve">(b) The necessity of the amendment to this administrative regulation:</w:t>
      </w:r>
    </w:p>
    <w:p>
      <w:pPr>
        <w:pStyle w:val="kar_normal"/>
        <w:ind w:left="720"/>
      </w:pPr>
      <w:r>
        <w:t xml:space="preserve">Amendment is necessary to prevent inconsistent rate assignment and ensure that the statute is applied as written.</w:t>
      </w:r>
    </w:p>
    <w:p>
      <w:pPr>
        <w:pStyle w:val="kar_normal"/>
        <w:ind w:left="576"/>
      </w:pPr>
      <w:r>
        <w:t xml:space="preserve">(c) How the amendment conforms to the content of the authorizing statutes:</w:t>
      </w:r>
    </w:p>
    <w:p>
      <w:pPr>
        <w:pStyle w:val="kar_normal"/>
        <w:ind w:left="720"/>
      </w:pPr>
      <w:r>
        <w:t xml:space="preserve">This regulation conforms to the authorizing statute by setting forth the requirements for PEOs and the calculation of contribution rates.</w:t>
      </w:r>
    </w:p>
    <w:p>
      <w:pPr>
        <w:pStyle w:val="kar_normal"/>
        <w:ind w:left="576"/>
      </w:pPr>
      <w:r>
        <w:t xml:space="preserve">(d) How the amendment will assist in the effective administration of the statutes:</w:t>
      </w:r>
    </w:p>
    <w:p>
      <w:pPr>
        <w:pStyle w:val="kar_normal"/>
        <w:ind w:left="720"/>
      </w:pPr>
      <w:r>
        <w:t xml:space="preserve">This amendment clarifies rate-assignment rules and aligns regulatory text with statutory mandates, thereby ensuring predictable, uniform, and legally compliant administration of UI contribution rates for PEOs and client employers.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40 licensed PEOs are operating in Kentucky with their associated client employers.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PEOs electing client-level reporting must follow clarified reporting procedures and ensure accurate transmission of wage and employment data. No new substantive obligations are imposed beyond statutory requirements.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 anticipated. This amendment reduces administrative uncertainty and does not impose new reporting burdens.</w:t>
      </w:r>
    </w:p>
    <w:p>
      <w:pPr>
        <w:pStyle w:val="kar_normal"/>
        <w:ind w:left="576"/>
      </w:pPr>
      <w:r>
        <w:t xml:space="preserve">(c) As a result of compliance, what benefits will accrue to the entities identified in question (4):</w:t>
      </w:r>
    </w:p>
    <w:p>
      <w:pPr>
        <w:pStyle w:val="kar_normal"/>
        <w:ind w:left="720"/>
      </w:pPr>
      <w:r>
        <w:t xml:space="preserve">PEOs and employers will benefit from clearer rules, improved predictability of contribution-rate calculations, and consistent application of statutory provisions.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OUI will incur costs associated with changing the software which operates the program.</w:t>
      </w:r>
    </w:p>
    <w:p>
      <w:pPr>
        <w:pStyle w:val="kar_normal"/>
        <w:ind w:left="576"/>
      </w:pPr>
      <w:r>
        <w:t xml:space="preserve">(b) On a continuing basis:</w:t>
      </w:r>
    </w:p>
    <w:p>
      <w:pPr>
        <w:pStyle w:val="kar_normal"/>
        <w:ind w:left="720"/>
      </w:pPr>
      <w:r>
        <w:t xml:space="preserve">No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Existing funding within OUI, including federal administrative grants.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336.248; KRS 336.232; KRS 341.115; KRS 341.540; KRS Chapter 341.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KRS 336.248, 341.115.</w:t>
      </w:r>
    </w:p>
    <w:p>
      <w:pPr>
        <w:pStyle w:val="kar_normal"/>
        <w:ind w:left="288"/>
      </w:pPr>
      <w:r>
        <w:t xml:space="preserve">(3)(a) Identify the promulgating agency and any other affected state units, parts, or divisions:</w:t>
      </w:r>
    </w:p>
    <w:p>
      <w:pPr>
        <w:pStyle w:val="kar_normal"/>
        <w:ind w:left="432"/>
      </w:pPr>
      <w:r>
        <w:t xml:space="preserve">The Office of Unemployment Insurance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OUI anticipates system-modification costs related to programming changes in the new UI tax system scheduled for implementation next year. The exact cost will depend on vendor pricing and the scope of required changes.</w:t>
      </w:r>
    </w:p>
    <w:p>
      <w:pPr>
        <w:pStyle w:val="kar_normal"/>
        <w:ind w:left="864"/>
      </w:pPr>
      <w:r>
        <w:t xml:space="preserve">For subsequent years:</w:t>
      </w:r>
      <w:r>
        <w:t xml:space="preserve"> No recurring costs are anticipated after system modifications are complete.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Professional Employer Organizations (PEOs) and their client employers.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Depending on the software modification cost, the change may have a major economic impact in the first year on the agency. However, the agency will not need an increase in funds to pay for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735dc57a44398" /><Relationship Type="http://schemas.openxmlformats.org/officeDocument/2006/relationships/settings" Target="/word/settings.xml" Id="Rb9b3072b6df84626" /></Relationships>
</file>