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618264d56143a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Healthcare Policy</w:t>
      </w:r>
    </w:p>
    <w:p>
      <w:pPr>
        <w:pStyle w:val="kar_markup_header"/>
        <w:ind w:firstLine="0"/>
      </w:pPr>
      <w:r>
        <w:t>(Amendment)</w:t>
      </w:r>
    </w:p>
    <w:p>
      <w:pPr>
        <w:pStyle w:val="kar_citation"/>
      </w:pPr>
      <w:r>
        <w:t>907 KAR 3:005.</w:t>
      </w:r>
      <w:r>
        <w:t xml:space="preserve"> </w:t>
      </w:r>
      <w:r>
        <w:t xml:space="preserve">Coverage of physicians' services.</w:t>
      </w:r>
    </w:p>
    <w:p>
      <w:pPr>
        <w:pStyle w:val="kar_markup_metadata"/>
      </w:pPr>
      <w:r>
        <w:t xml:space="preserve">RELATES TO: </w:t>
      </w:r>
      <w:r>
        <w:t xml:space="preserve">KRS 205.510, </w:t>
      </w:r>
      <w:r>
        <w:t>[</w:t>
      </w:r>
      <w:r>
        <w:rPr>
          <w:strike w:val="true"/>
        </w:rPr>
        <w:t xml:space="preserve">205.520, 205.560, </w:t>
      </w:r>
      <w:r>
        <w:t>]</w:t>
      </w:r>
      <w:r>
        <w:t xml:space="preserve">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w:t>
      </w:r>
      <w:r>
        <w:rPr>
          <w:u w:val="single"/>
        </w:rPr>
        <w:t xml:space="preserve">Medicaid</w:t>
      </w:r>
      <w:r>
        <w:t xml:space="preserve">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205.510(12).</w:t>
      </w:r>
    </w:p>
    <w:p>
      <w:pPr>
        <w:pStyle w:val="kar_subsection"/>
      </w:pPr>
      <w:r>
        <w:t xml:space="preserve">(31)</w:t>
      </w:r>
      <w:r>
        <w:t xml:space="preserve"> </w:t>
      </w:r>
      <w:r>
        <w:t xml:space="preserve">"Provider group" means </w:t>
      </w:r>
      <w:r>
        <w:rPr>
          <w:u w:val="single"/>
        </w:rPr>
        <w:t xml:space="preserve">at least one licensed physician</w:t>
      </w:r>
      <w:r>
        <w:t>[</w:t>
      </w:r>
      <w:r>
        <w:rPr>
          <w:strike w:val="true"/>
        </w:rPr>
        <w:t xml:space="preserve">a group of at least two (2) individually licensed physicians</w:t>
      </w:r>
      <w:r>
        <w:t>]</w:t>
      </w:r>
      <w:r>
        <w:t xml:space="preserve"> who:</w:t>
      </w:r>
    </w:p>
    <w:p>
      <w:pPr>
        <w:pStyle w:val="kar_paragraph"/>
      </w:pPr>
      <w:r>
        <w:t xml:space="preserve">(a)</w:t>
      </w:r>
      <w:r>
        <w:t xml:space="preserve"> </w:t>
      </w:r>
      <w:r>
        <w:rPr>
          <w:u w:val="single"/>
        </w:rPr>
        <w:t xml:space="preserve">Is</w:t>
      </w:r>
      <w:r>
        <w:t>[</w:t>
      </w:r>
      <w:r>
        <w:rPr>
          <w:strike w:val="true"/>
        </w:rPr>
        <w:t xml:space="preserve">Are</w:t>
      </w:r>
      <w:r>
        <w:t>]</w:t>
      </w:r>
      <w:r>
        <w:t xml:space="preserve"> enrolled with the Medicaid program individually and as a group; and</w:t>
      </w:r>
    </w:p>
    <w:p>
      <w:pPr>
        <w:pStyle w:val="kar_paragraph"/>
      </w:pPr>
      <w:r>
        <w:t xml:space="preserve">(b)</w:t>
      </w:r>
      <w:r>
        <w:t xml:space="preserve"> </w:t>
      </w:r>
      <w:r>
        <w:t xml:space="preserve">Share the same Medicaid group provider number</w:t>
      </w:r>
      <w:r>
        <w:rPr>
          <w:u w:val="single"/>
        </w:rPr>
        <w:t xml:space="preserve">, if more than one physician is in the group</w:t>
      </w:r>
      <w:r>
        <w:t xml:space="preserve">.</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w:t>
      </w:r>
      <w:r>
        <w:rPr>
          <w:u w:val="single"/>
        </w:rPr>
        <w:t xml:space="preserve">in writing</w:t>
      </w:r>
      <w:r>
        <w:t xml:space="preserve">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7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ubsection"/>
      </w:pPr>
      <w:r>
        <w:t>[</w:t>
      </w:r>
      <w:r>
        <w:rPr>
          <w:strike w:val="true"/>
        </w:rPr>
        <w:t xml:space="preserve">(4)</w:t>
      </w:r>
      <w:r>
        <w:t>]</w:t>
      </w:r>
      <w:r>
        <w:t xml:space="preserve"> </w:t>
      </w:r>
      <w:r>
        <w:t>[</w:t>
      </w:r>
      <w:r>
        <w:rPr>
          <w:strike w:val="true"/>
        </w:rPr>
        <w:t xml:space="preserve">A sleep disorder service shall be covered if performed in:</w:t>
      </w:r>
      <w:r>
        <w:t>]</w:t>
      </w:r>
    </w:p>
    <w:p>
      <w:pPr>
        <w:pStyle w:val="kar_paragraph"/>
      </w:pPr>
      <w:r>
        <w:t>[</w:t>
      </w:r>
      <w:r>
        <w:rPr>
          <w:strike w:val="true"/>
        </w:rPr>
        <w:t xml:space="preserve">(a)</w:t>
      </w:r>
      <w:r>
        <w:t>]</w:t>
      </w:r>
      <w:r>
        <w:t xml:space="preserve"> </w:t>
      </w:r>
      <w:r>
        <w:t>[</w:t>
      </w:r>
      <w:r>
        <w:rPr>
          <w:strike w:val="true"/>
        </w:rPr>
        <w:t xml:space="preserve">A hospital; or</w:t>
      </w:r>
      <w:r>
        <w:t>]</w:t>
      </w:r>
    </w:p>
    <w:p>
      <w:pPr>
        <w:pStyle w:val="kar_paragraph"/>
      </w:pPr>
      <w:r>
        <w:t>[</w:t>
      </w:r>
      <w:r>
        <w:rPr>
          <w:strike w:val="true"/>
        </w:rPr>
        <w:t xml:space="preserve">(b)</w:t>
      </w:r>
      <w:r>
        <w:t>]</w:t>
      </w:r>
      <w:r>
        <w:t xml:space="preserve"> </w:t>
      </w:r>
      <w:r>
        <w:t>[</w:t>
      </w:r>
      <w:r>
        <w:rPr>
          <w:strike w:val="true"/>
        </w:rPr>
        <w:t xml:space="preserve">A sleep laboratory if the sleep laboratory has documentation demonstrating that it complies with criteria approved by the:</w:t>
      </w:r>
      <w:r>
        <w:t>]</w:t>
      </w:r>
    </w:p>
    <w:p>
      <w:pPr>
        <w:pStyle w:val="kar_subparagraph"/>
      </w:pPr>
      <w:r>
        <w:t>[</w:t>
      </w:r>
      <w:r>
        <w:rPr>
          <w:strike w:val="true"/>
        </w:rPr>
        <w:t xml:space="preserve">1.</w:t>
      </w:r>
      <w:r>
        <w:t>]</w:t>
      </w:r>
      <w:r>
        <w:t xml:space="preserve"> </w:t>
      </w:r>
      <w:r>
        <w:t>[</w:t>
      </w:r>
      <w:r>
        <w:rPr>
          <w:strike w:val="true"/>
        </w:rPr>
        <w:t xml:space="preserve">American Sleep Disorders Association; or</w:t>
      </w:r>
      <w:r>
        <w:t>]</w:t>
      </w:r>
    </w:p>
    <w:p>
      <w:pPr>
        <w:pStyle w:val="kar_subparagraph"/>
      </w:pPr>
      <w:r>
        <w:t>[</w:t>
      </w:r>
      <w:r>
        <w:rPr>
          <w:strike w:val="true"/>
        </w:rPr>
        <w:t xml:space="preserve">2.</w:t>
      </w:r>
      <w:r>
        <w:t>]</w:t>
      </w:r>
      <w:r>
        <w:t xml:space="preserve"> </w:t>
      </w:r>
      <w:r>
        <w:t>[</w:t>
      </w:r>
      <w:r>
        <w:rPr>
          <w:strike w:val="true"/>
        </w:rPr>
        <w:t xml:space="preserve">American Academy of Sleep Medicine.</w:t>
      </w:r>
      <w:r>
        <w:t>]</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w:t>
      </w:r>
      <w:r>
        <w:rPr>
          <w:strike w:val="true"/>
        </w:rPr>
        <w:t xml:space="preserve">Coverage for an evaluation and management service shall be limited to one (1) per physician, per recipient, per date of service.</w:t>
      </w:r>
      <w:r>
        <w:t>]</w:t>
      </w:r>
    </w:p>
    <w:p>
      <w:pPr>
        <w:pStyle w:val="kar_subsection"/>
      </w:pPr>
      <w:r>
        <w:t>[</w:t>
      </w:r>
      <w:r>
        <w:rPr>
          <w:strike w:val="true"/>
        </w:rPr>
        <w:t xml:space="preserve">(8)</w:t>
      </w:r>
      <w:r>
        <w:t>]</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rPr>
          <w:u w:val="single"/>
        </w:rPr>
        <w:t xml:space="preserve">(8)</w:t>
      </w:r>
      <w:r>
        <w:t>[</w:t>
      </w:r>
      <w:r>
        <w:rPr>
          <w:strike w:val="true"/>
        </w:rPr>
        <w:t xml:space="preserve">(9)</w:t>
      </w:r>
      <w:r>
        <w:t>]</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rPr>
          <w:u w:val="single"/>
        </w:rPr>
        <w:t xml:space="preserve">(9)</w:t>
      </w:r>
      <w:r>
        <w:t>[</w:t>
      </w:r>
      <w:r>
        <w:rPr>
          <w:strike w:val="true"/>
        </w:rPr>
        <w:t xml:space="preserve">(10)</w:t>
      </w:r>
      <w:r>
        <w:t>]</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rPr>
          <w:u w:val="single"/>
        </w:rPr>
        <w:t xml:space="preserve">(10)</w:t>
      </w:r>
      <w:r>
        <w:t>[</w:t>
      </w:r>
      <w:r>
        <w:rPr>
          <w:strike w:val="true"/>
        </w:rPr>
        <w:t xml:space="preserve">(11)</w:t>
      </w:r>
      <w:r>
        <w:t>]</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w:t>
      </w:r>
    </w:p>
    <w:p>
      <w:pPr>
        <w:pStyle w:val="kar_paragraph"/>
      </w:pPr>
      <w:r>
        <w:rPr>
          <w:u w:val="single"/>
        </w:rPr>
        <w:t xml:space="preserve">(o)</w:t>
      </w:r>
      <w:r>
        <w:t xml:space="preserve"> </w:t>
      </w:r>
      <w:r>
        <w:rPr>
          <w:u w:val="single"/>
        </w:rPr>
        <w:t xml:space="preserve">Genetic testing;</w:t>
      </w:r>
      <w:r>
        <w:t xml:space="preserve"> or</w:t>
      </w:r>
    </w:p>
    <w:p>
      <w:pPr>
        <w:pStyle w:val="kar_paragraph"/>
      </w:pPr>
      <w:r>
        <w:rPr>
          <w:u w:val="single"/>
        </w:rPr>
        <w:t xml:space="preserve">(p)</w:t>
      </w:r>
      <w:r>
        <w:t>[</w:t>
      </w:r>
      <w:r>
        <w:rPr>
          <w:strike w:val="true"/>
        </w:rPr>
        <w:t xml:space="preserve">(o)</w:t>
      </w:r>
      <w:r>
        <w:t>]</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r>
        <w:t>[</w:t>
      </w:r>
      <w:r>
        <w:rPr>
          <w:strike w:val="true"/>
        </w:rPr>
        <w:t xml:space="preserve">Mailing or faxing:</w:t>
      </w:r>
      <w:r>
        <w:t>]</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w:t>
      </w:r>
      <w:r>
        <w:rPr>
          <w:strike w:val="true"/>
        </w:rPr>
        <w:t xml:space="preserve">Therapy Service Limits.</w:t>
      </w:r>
      <w:r>
        <w:t>]</w:t>
      </w:r>
    </w:p>
    <w:p>
      <w:pPr>
        <w:pStyle w:val="kar_subsection"/>
      </w:pPr>
      <w:r>
        <w:t>[</w:t>
      </w:r>
      <w:r>
        <w:rPr>
          <w:strike w:val="true"/>
        </w:rPr>
        <w:t xml:space="preserve">(1)</w:t>
      </w:r>
      <w:r>
        <w:t>]</w:t>
      </w:r>
      <w:r>
        <w:t xml:space="preserve"> </w:t>
      </w:r>
      <w:r>
        <w:t>[</w:t>
      </w:r>
      <w:r>
        <w:rPr>
          <w:strike w:val="true"/>
        </w:rPr>
        <w:t xml:space="preserve">Speech-language pathology services shall be limited to twenty (20) service visits per recipient per calendar year, except as established in subsection (4) of this section.</w:t>
      </w:r>
      <w:r>
        <w:t>]</w:t>
      </w:r>
    </w:p>
    <w:p>
      <w:pPr>
        <w:pStyle w:val="kar_subsection"/>
      </w:pPr>
      <w:r>
        <w:t>[</w:t>
      </w:r>
      <w:r>
        <w:rPr>
          <w:strike w:val="true"/>
        </w:rPr>
        <w:t xml:space="preserve">(2)</w:t>
      </w:r>
      <w:r>
        <w:t>]</w:t>
      </w:r>
      <w:r>
        <w:t xml:space="preserve"> </w:t>
      </w:r>
      <w:r>
        <w:t>[</w:t>
      </w:r>
      <w:r>
        <w:rPr>
          <w:strike w:val="true"/>
        </w:rPr>
        <w:t xml:space="preserve">Physical therapy services shall be limited to twenty (20) service visits per recipient per calendar year, except as established in subsection (4) of this section.</w:t>
      </w:r>
      <w:r>
        <w:t>]</w:t>
      </w:r>
    </w:p>
    <w:p>
      <w:pPr>
        <w:pStyle w:val="kar_subsection"/>
      </w:pPr>
      <w:r>
        <w:t>[</w:t>
      </w:r>
      <w:r>
        <w:rPr>
          <w:strike w:val="true"/>
        </w:rPr>
        <w:t xml:space="preserve">(3)</w:t>
      </w:r>
      <w:r>
        <w:t>]</w:t>
      </w:r>
      <w:r>
        <w:t xml:space="preserve"> </w:t>
      </w:r>
      <w:r>
        <w:t>[</w:t>
      </w:r>
      <w:r>
        <w:rPr>
          <w:strike w:val="true"/>
        </w:rPr>
        <w:t xml:space="preserve">Occupational therapy services shall be limited to twenty (20) service visits per recipient per calendar year, except as established in subsection (4) of this section.</w:t>
      </w:r>
      <w:r>
        <w:t>]</w:t>
      </w:r>
    </w:p>
    <w:p>
      <w:pPr>
        <w:pStyle w:val="kar_subsection"/>
      </w:pPr>
      <w:r>
        <w:t>[</w:t>
      </w:r>
      <w:r>
        <w:rPr>
          <w:strike w:val="true"/>
        </w:rPr>
        <w:t xml:space="preserve">(4)</w:t>
      </w:r>
      <w:r>
        <w:t>]</w:t>
      </w:r>
      <w:r>
        <w:t xml:space="preserve"> </w:t>
      </w:r>
      <w:r>
        <w:t>[</w:t>
      </w:r>
      <w:r>
        <w:rPr>
          <w:strike w:val="true"/>
        </w:rPr>
        <w:t xml:space="preserve">A service in excess of the limits established in subsection (1), (2), or (3) of this section shall be:</w:t>
      </w:r>
      <w:r>
        <w:t>]</w:t>
      </w:r>
    </w:p>
    <w:p>
      <w:pPr>
        <w:pStyle w:val="kar_paragraph"/>
      </w:pPr>
      <w:r>
        <w:t>[</w:t>
      </w:r>
      <w:r>
        <w:rPr>
          <w:strike w:val="true"/>
        </w:rPr>
        <w:t xml:space="preserve">(a)</w:t>
      </w:r>
      <w:r>
        <w:t>]</w:t>
      </w:r>
      <w:r>
        <w:t xml:space="preserve"> </w:t>
      </w:r>
      <w:r>
        <w:t>[</w:t>
      </w:r>
      <w:r>
        <w:rPr>
          <w:strike w:val="true"/>
        </w:rPr>
        <w:t xml:space="preserve">Prior authorized in accordance with subsection (5) of this section if the recipient is not enrolled with a managed care organization; and</w:t>
      </w:r>
      <w:r>
        <w:t>]</w:t>
      </w:r>
    </w:p>
    <w:p>
      <w:pPr>
        <w:pStyle w:val="kar_paragraph"/>
      </w:pPr>
      <w:r>
        <w:t>[</w:t>
      </w:r>
      <w:r>
        <w:rPr>
          <w:strike w:val="true"/>
        </w:rPr>
        <w:t xml:space="preserve">(b)</w:t>
      </w:r>
      <w:r>
        <w:t>]</w:t>
      </w:r>
      <w:r>
        <w:t xml:space="preserve"> </w:t>
      </w:r>
      <w:r>
        <w:t>[</w:t>
      </w:r>
      <w:r>
        <w:rPr>
          <w:strike w:val="true"/>
        </w:rPr>
        <w:t xml:space="preserve">Approved if the additional service is determined to be medically necessary by:</w:t>
      </w:r>
      <w:r>
        <w:t>]</w:t>
      </w:r>
    </w:p>
    <w:p>
      <w:pPr>
        <w:pStyle w:val="kar_subparagraph"/>
      </w:pPr>
      <w:r>
        <w:t>[</w:t>
      </w:r>
      <w:r>
        <w:rPr>
          <w:strike w:val="true"/>
        </w:rPr>
        <w:t xml:space="preserve">1.</w:t>
      </w:r>
      <w:r>
        <w:t>]</w:t>
      </w:r>
      <w:r>
        <w:t xml:space="preserve"> </w:t>
      </w:r>
      <w:r>
        <w:t>[</w:t>
      </w:r>
      <w:r>
        <w:rPr>
          <w:strike w:val="true"/>
        </w:rPr>
        <w:t xml:space="preserve">The department, if the recipient is not enrolled with a managed care organization; or</w:t>
      </w:r>
      <w:r>
        <w:t>]</w:t>
      </w:r>
    </w:p>
    <w:p>
      <w:pPr>
        <w:pStyle w:val="kar_subparagraph"/>
      </w:pPr>
      <w:r>
        <w:t>[</w:t>
      </w:r>
      <w:r>
        <w:rPr>
          <w:strike w:val="true"/>
        </w:rPr>
        <w:t xml:space="preserve">2.</w:t>
      </w:r>
      <w:r>
        <w:t>]</w:t>
      </w:r>
      <w:r>
        <w:t xml:space="preserve"> </w:t>
      </w:r>
      <w:r>
        <w:t>[</w:t>
      </w:r>
      <w:r>
        <w:rPr>
          <w:strike w:val="true"/>
        </w:rPr>
        <w:t xml:space="preserve">The managed care organization in which the enrollee is enrolled, if the recipient is an enrollee.</w:t>
      </w:r>
      <w:r>
        <w:t>]</w:t>
      </w:r>
    </w:p>
    <w:p>
      <w:pPr>
        <w:pStyle w:val="kar_subsection"/>
      </w:pPr>
      <w:r>
        <w:t>[</w:t>
      </w:r>
      <w:r>
        <w:rPr>
          <w:strike w:val="true"/>
        </w:rPr>
        <w:t xml:space="preserve">(5)</w:t>
      </w:r>
      <w:r>
        <w:t>]</w:t>
      </w:r>
      <w:r>
        <w:t xml:space="preserve"> </w:t>
      </w:r>
      <w:r>
        <w:t>[</w:t>
      </w:r>
      <w:r>
        <w:rPr>
          <w:strike w:val="true"/>
        </w:rPr>
        <w:t xml:space="preserve">Prior authorization by the department shall be required for each service visit that exceeds the limit established in subsection (1), (2), or (3) of this section for a recipient who is not enrolled with a managed care organization.</w:t>
      </w:r>
      <w:r>
        <w:t>]</w:t>
      </w:r>
    </w:p>
    <w:p>
      <w:pPr>
        <w:pStyle w:val="kar_section"/>
      </w:pPr>
      <w:r>
        <w:t>[</w:t>
      </w:r>
      <w:r>
        <w:rPr>
          <w:strike w:val="true"/>
        </w:rPr>
        <w:t xml:space="preserve">Section 7.</w:t>
      </w:r>
      <w:r>
        <w:t>]</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4(10)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rPr>
          <w:u w:val="single"/>
        </w:rPr>
        <w:t xml:space="preserve">Section 7.</w:t>
      </w:r>
      <w:r>
        <w:t>[</w:t>
      </w:r>
      <w:r>
        <w:rPr>
          <w:strike w:val="true"/>
        </w:rPr>
        <w:t xml:space="preserve">Section 8.</w:t>
      </w:r>
      <w:r>
        <w:t>]</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rPr>
          <w:u w:val="single"/>
        </w:rPr>
        <w:t xml:space="preserve">Section 8.</w:t>
      </w:r>
      <w:r>
        <w:t>[</w:t>
      </w:r>
      <w:r>
        <w:rPr>
          <w:strike w:val="true"/>
        </w:rPr>
        <w:t xml:space="preserve">Section 9.</w:t>
      </w:r>
      <w:r>
        <w:t>]</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rPr>
          <w:u w:val="single"/>
        </w:rPr>
        <w:t xml:space="preserve">Section 9.</w:t>
      </w:r>
      <w:r>
        <w:t>[</w:t>
      </w:r>
      <w:r>
        <w:rPr>
          <w:strike w:val="true"/>
        </w:rPr>
        <w:t xml:space="preserve">Section 10.</w:t>
      </w:r>
      <w:r>
        <w:t>]</w:t>
      </w:r>
      <w:r>
        <w:t xml:space="preserve"> </w:t>
      </w:r>
      <w:r>
        <w:t xml:space="preserve">Third Party Liability. A provider shall comply with KRS 205.622.</w:t>
      </w:r>
    </w:p>
    <w:p>
      <w:pPr>
        <w:pStyle w:val="kar_section"/>
      </w:pPr>
      <w:r>
        <w:rPr>
          <w:u w:val="single"/>
        </w:rPr>
        <w:t xml:space="preserve">Section 10.</w:t>
      </w:r>
      <w:r>
        <w:t>[</w:t>
      </w:r>
      <w:r>
        <w:rPr>
          <w:strike w:val="true"/>
        </w:rPr>
        <w:t xml:space="preserve">Section 11.</w:t>
      </w:r>
      <w:r>
        <w:t>]</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rPr>
          <w:u w:val="single"/>
        </w:rPr>
        <w:t xml:space="preserve">Section 11.</w:t>
      </w:r>
      <w:r>
        <w:t>[</w:t>
      </w:r>
      <w:r>
        <w:rPr>
          <w:strike w:val="true"/>
        </w:rPr>
        <w:t xml:space="preserve">Section 12.</w:t>
      </w:r>
      <w:r>
        <w:t>]</w:t>
      </w:r>
      <w:r>
        <w:t xml:space="preserve"> </w:t>
      </w:r>
      <w:r>
        <w:t xml:space="preserve">Auditing Authority. The department shall have the authority to audit any claim, medical record, or documentation associated with the claim or medical record.</w:t>
      </w:r>
    </w:p>
    <w:p>
      <w:pPr>
        <w:pStyle w:val="kar_section"/>
      </w:pPr>
      <w:r>
        <w:rPr>
          <w:u w:val="single"/>
        </w:rPr>
        <w:t xml:space="preserve">Section 12.</w:t>
      </w:r>
      <w:r>
        <w:t>[</w:t>
      </w:r>
      <w:r>
        <w:rPr>
          <w:strike w:val="true"/>
        </w:rPr>
        <w:t xml:space="preserve">Section 13.</w:t>
      </w:r>
      <w:r>
        <w:t>]</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rPr>
          <w:u w:val="single"/>
        </w:rPr>
        <w:t xml:space="preserve">Section 13.</w:t>
      </w:r>
      <w:r>
        <w:t>[</w:t>
      </w:r>
      <w:r>
        <w:rPr>
          <w:strike w:val="true"/>
        </w:rPr>
        <w:t xml:space="preserve">Section 14.</w:t>
      </w:r>
      <w:r>
        <w:t>]</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October 6, 2025</w:t>
      </w:r>
    </w:p>
    <w:p>
      <w:pPr>
        <w:pStyle w:val="kar_filed"/>
      </w:pPr>
      <w:r>
        <w:t xml:space="preserve">FILED WITH LRC: January 7, 2026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 </w:t>
      </w:r>
    </w:p>
    <w:p>
      <w:pPr>
        <w:pStyle w:val="kar_normal"/>
        <w:ind w:left="0"/>
      </w:pPr>
      <w:r>
        <w:t xml:space="preserve">Subject Headings:</w:t>
      </w:r>
      <w:r>
        <w:t xml:space="preserve"> Medicaid, Health and Medical Services, Physicians and Practitioners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coverage provisions and requirements relating to physicians' services.</w:t>
      </w:r>
    </w:p>
    <w:p>
      <w:pPr>
        <w:pStyle w:val="kar_normal"/>
        <w:ind w:left="576"/>
      </w:pPr>
      <w:r>
        <w:t xml:space="preserve">(b) The necessity of this administrative regulation:</w:t>
      </w:r>
    </w:p>
    <w:p>
      <w:pPr>
        <w:pStyle w:val="kar_normal"/>
        <w:ind w:left="720"/>
      </w:pPr>
      <w:r>
        <w:t xml:space="preserve">This administrative regulation is necessary to establish Medicaid program coverage provisions and requirements relating to physicians’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Medicaid program coverage provisions and requirements relating to physicians’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Medicaid program coverage provisions and requirements relating to physicians’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administrative regulation by adding genetic testing to the list of procedures that require prior authorization for recipients who are not enrolled with a managed care organization and updating the definition of "provider group". Additionally, the following have been removed: Section 6 regarding therapy service limits; the coverage limit for an evaluation and management service (previously this was one per physician, per recipient, per date of service); and sleep disorder service from the list of covered services in Section 3.</w:t>
      </w:r>
    </w:p>
    <w:p>
      <w:pPr>
        <w:pStyle w:val="kar_normal"/>
        <w:ind w:left="576"/>
      </w:pPr>
      <w:r>
        <w:t xml:space="preserve">(b) The necessity of the amendment to this administrative regulation:</w:t>
      </w:r>
    </w:p>
    <w:p>
      <w:pPr>
        <w:pStyle w:val="kar_normal"/>
        <w:ind w:left="720"/>
      </w:pPr>
      <w:r>
        <w:t xml:space="preserve">This amendment to this administrative regulation is necessary to update DMS policy relating to evaluation and management codes, sleep disorder services, the number of physicians that can enroll as a physician group, and departmental prior authorizations relating to genetic testing.</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ensuring adequate services and physician networks are available to Medicaid recipients.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addressing the services provided by providers and physicians within the Medicaid program.</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more than 73,000 providers in the Medicaid program.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that will need to be taken for entities to comply.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entities.</w:t>
      </w:r>
    </w:p>
    <w:p>
      <w:pPr>
        <w:pStyle w:val="kar_normal"/>
        <w:ind w:left="576"/>
      </w:pPr>
      <w:r>
        <w:t xml:space="preserve">(c) As a result of compliance, what benefits will accrue to the entities identified in question (4):</w:t>
      </w:r>
    </w:p>
    <w:p>
      <w:pPr>
        <w:pStyle w:val="kar_normal"/>
        <w:ind w:left="720"/>
      </w:pPr>
      <w:r>
        <w:t xml:space="preserve">Providers will no longer be limited by the coverage limit for an evaluation and management service.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w:t>
      </w:r>
    </w:p>
    <w:p>
      <w:pPr>
        <w:pStyle w:val="kar_normal"/>
        <w:ind w:left="576"/>
      </w:pPr>
      <w:r>
        <w:t xml:space="preserve">(b) On a continuing basis:</w:t>
      </w:r>
    </w:p>
    <w:p>
      <w:pPr>
        <w:pStyle w:val="kar_normal"/>
        <w:ind w:left="720"/>
      </w:pPr>
      <w:r>
        <w:t xml:space="preserve">There are no ongoing costs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amendments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(10) TIERING: Is tiering applied?</w:t>
      </w:r>
    </w:p>
    <w:p>
      <w:pPr>
        <w:pStyle w:val="kar_normal"/>
        <w:ind w:left="432"/>
      </w:pPr>
      <w:r>
        <w:t xml:space="preserve">Tiering is not applied in this administrative regulation because the administration regulation applies equally to all individuals and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 205.560(1); 42 U.S.C. 1396a(a)(10)(B)</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anticipated changes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identified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None identified.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anticipated changes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does not anticipate additional costs, expenditures, or revenues as a result of the amendments to this administrative regulation.</w:t>
      </w:r>
    </w:p>
    <w:p>
      <w:pPr>
        <w:pStyle w:val="kar_normal"/>
        <w:ind w:left="576"/>
      </w:pPr>
      <w:r>
        <w:t xml:space="preserve">(b) Methodology and resources used to determine the fiscal impact:</w:t>
      </w:r>
    </w:p>
    <w:p>
      <w:pPr>
        <w:pStyle w:val="kar_normal"/>
        <w:ind w:left="720"/>
      </w:pPr>
      <w:r>
        <w:t xml:space="preserve">Departmental assessment of utilization patterns, nongovernmental payer experiences with evaluation and management services reimbursement, and anticipated improved treatment outcomes from appropriate utilization of utilization and management services.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Departmental assessment of reimbursement associated with evaluation and management services.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1396a(a)(10)(B)</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42 U.S.C. 1396a(a)(10)(B) requires the Medicaid Program to ensure that services are available to Medicaid recipients in the same amount, duration, and scope as available to other individuals (non-Medicaid).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e191d871244395" /><Relationship Type="http://schemas.openxmlformats.org/officeDocument/2006/relationships/settings" Target="/word/settings.xml" Id="R98efed67cf4c46ba" /></Relationships>
</file>