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59ff5aa01f4d3e" /></Relationships>
</file>

<file path=word/document.xml><?xml version="1.0" encoding="utf-8"?>
<w:document xmlns:w="http://schemas.openxmlformats.org/wordprocessingml/2006/main">
  <w:body>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t xml:space="preserve">KRS 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established in 201 KAR 26:160, Section 1,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Examination for Professional Practice in Psychology (EPPP) within one (1) year of the board's written approval of temporary licensure.</w:t>
      </w:r>
    </w:p>
    <w:p>
      <w:pPr>
        <w:pStyle w:val="kar_subsection"/>
      </w:pPr>
      <w:r>
        <w:t xml:space="preserve">(5)</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r>
        <w:t xml:space="preserve"> </w:t>
      </w:r>
    </w:p>
    <w:p>
      <w:pPr>
        <w:pStyle w:val="kar_paragraph"/>
      </w:pPr>
      <w:r>
        <w:t xml:space="preserve">(a)</w:t>
      </w:r>
      <w:r>
        <w:t xml:space="preserve"> </w:t>
      </w:r>
      <w:r>
        <w:t xml:space="preserve">Under exceptional circumstances and upon written request cosigned by the board-approved supervisor, the board may approve an extension of the period of temporary licensure.</w:t>
      </w:r>
    </w:p>
    <w:p>
      <w:pPr>
        <w:pStyle w:val="kar_subparagraph"/>
      </w:pPr>
      <w:r>
        <w:t xml:space="preserve">1.</w:t>
      </w:r>
      <w:r>
        <w:t xml:space="preserve"> </w:t>
      </w:r>
      <w:r>
        <w:t xml:space="preserve">Exceptional circumstances include unforeseen events beyond the control of the temporary licensee that have a significant impact upon the temporary licensee's ability to complete the requirements in subsection (5)(b) of this section.</w:t>
      </w:r>
    </w:p>
    <w:p>
      <w:pPr>
        <w:pStyle w:val="kar_subparagraph"/>
      </w:pPr>
      <w:r>
        <w:t xml:space="preserve">2.</w:t>
      </w:r>
      <w:r>
        <w:t xml:space="preserve"> </w:t>
      </w:r>
      <w:r>
        <w:t xml:space="preserve">Some examples of exceptional circumstances include instances such as natural disasters, or illness or disability of the temporary licensee, or that of a family member of the temporary licensee.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w:t>
      </w:r>
    </w:p>
    <w:p>
      <w:pPr>
        <w:pStyle w:val="kar_paragraph"/>
      </w:pPr>
      <w:r>
        <w:t xml:space="preserve">(e)</w:t>
      </w:r>
      <w:r>
        <w:t xml:space="preserve"> </w:t>
      </w:r>
      <w:r>
        <w:t xml:space="preserve">If after two (2) years on the second temporary license another extension is requested, the licensee may request a third temporary license.</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 licensee shall submit a completed Request for Extension of Temporary Licensure as a Psychologist to request an extension under this subsection.</w:t>
      </w:r>
    </w:p>
    <w:p>
      <w:pPr>
        <w:pStyle w:val="kar_section"/>
      </w:pPr>
      <w:r>
        <w:t xml:space="preserve">Section 3.</w:t>
      </w:r>
      <w:r>
        <w:t xml:space="preserve"> </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the Association of State Provincial Psychology Boards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the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ninety (90)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ninety (90)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October 2025;</w:t>
      </w:r>
    </w:p>
    <w:p>
      <w:pPr>
        <w:pStyle w:val="kar_paragraph"/>
      </w:pPr>
      <w:r>
        <w:t xml:space="preserve">(b)</w:t>
      </w:r>
      <w:r>
        <w:t xml:space="preserve"> </w:t>
      </w:r>
      <w:r>
        <w:t xml:space="preserve">"Recommendation Form for Licensure as a Psychologist", October2025; and</w:t>
      </w:r>
    </w:p>
    <w:p>
      <w:pPr>
        <w:pStyle w:val="kar_paragraph"/>
      </w:pPr>
      <w:r>
        <w:t xml:space="preserve">(c)</w:t>
      </w:r>
      <w:r>
        <w:t xml:space="preserve"> </w:t>
      </w:r>
      <w:r>
        <w:t xml:space="preserve">"Request for Extension of Temporary Licensure as a Psychologist", October2025.</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Web site and the address is: https://psy.ky.gov.</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026:155. 20 Ky.R. 674; 936; eff. 10-21-1993; 24 Ky.R. 1121; 1658; eff. 2-17-1998; 28 Ky.R. 1466; 1807; eff. 2-7-2002; 31 Ky.R. 1001; eff. 3-8-2005; 37 Ky.R. 1518; 1978; eff. 3-4-2011; 43 Ky.R. 1814; 44 Ky.R. 24; eff. 7-17-2017; Crt eff. 9-5-2019; 47 Ky.R. 2046; 48 Ky.R. 316; eff. 8-26-2021; 48 Ky.R. 1866, 2571; eff. 6-2-2022; 52 Ky.R. 854, 1330; eff. 2-12-2026.)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d63a5cb214a58" /><Relationship Type="http://schemas.openxmlformats.org/officeDocument/2006/relationships/settings" Target="/word/settings.xml" Id="R51fdbe4a8aea45aa" /></Relationships>
</file>