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5fe27c87a614fe0" /></Relationships>
</file>

<file path=word/document.xml><?xml version="1.0" encoding="utf-8"?>
<w:document xmlns:w="http://schemas.openxmlformats.org/wordprocessingml/2006/main">
  <w:body>
    <w:p>
      <w:pPr>
        <w:pStyle w:val="kar_markup_header"/>
      </w:pPr>
      <w:r>
        <w:t xml:space="preserve">AGRICULTURAL EXPERIMENT STATION</w:t>
      </w:r>
    </w:p>
    <w:p>
      <w:pPr>
        <w:pStyle w:val="kar_markup_header"/>
        <w:ind w:firstLine="0"/>
      </w:pPr>
      <w:r>
        <w:t>(Amended After Comments)</w:t>
      </w:r>
    </w:p>
    <w:p>
      <w:pPr>
        <w:pStyle w:val="kar_citation"/>
      </w:pPr>
      <w:r>
        <w:t>12 KAR 3:037.</w:t>
      </w:r>
      <w:r>
        <w:t xml:space="preserve"> </w:t>
      </w:r>
      <w:r>
        <w:t xml:space="preserve">Drugs and pet food additives.</w:t>
      </w:r>
    </w:p>
    <w:p>
      <w:pPr>
        <w:pStyle w:val="kar_markup_metadata"/>
      </w:pPr>
      <w:r>
        <w:t xml:space="preserve">RELATES TO: </w:t>
      </w:r>
      <w:r>
        <w:t xml:space="preserve">KRS 250.501, 250.511, 250.541(1)(a), (b), (c), (d), (e), (f), (j), (2)(c), (d), (e), 21 C.F.R. Parts 70, 71, 73, 74, 80, 81, 82, 501.22, 570.3(1), 570.30, 582, 21 U.S.C. 360(b)</w:t>
      </w:r>
    </w:p>
    <w:p>
      <w:pPr>
        <w:pStyle w:val="kar_markup_metadata"/>
      </w:pPr>
      <w:r>
        <w:t xml:space="preserve">STATUTORY AUTHORITY: </w:t>
      </w:r>
      <w:r>
        <w:t xml:space="preserve">KRS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efficient enforcement of KRS 250.491 to 250.631. KRS 250.541 defines adulterated commercial feeds and states how they may be adulterated by additives. KRS 250.551(1) and (2) prohibits the manufacturing and distribution of adulterated products as animal feeds. This administrative regulation establishes requirements to ensure that a drug or additive used in pet food or specialty pet food is safe and effective for its intended purpose.</w:t>
      </w:r>
    </w:p>
    <w:p>
      <w:pPr>
        <w:pStyle w:val="kar_section"/>
      </w:pPr>
      <w:r>
        <w:t xml:space="preserve">Section 1.</w:t>
      </w:r>
      <w:r>
        <w:t xml:space="preserve"> </w:t>
      </w:r>
      <w:r>
        <w:t xml:space="preserve">An artificial color may be used in a pet food or specialty pet food only if </w:t>
      </w:r>
      <w:r>
        <w:rPr>
          <w:b/>
          <w:u w:val="single"/>
        </w:rPr>
        <w:t xml:space="preserve">the artificial color</w:t>
      </w:r>
      <w:r>
        <w:t>[</w:t>
      </w:r>
      <w:r>
        <w:rPr>
          <w:b/>
          <w:strike w:val="true"/>
        </w:rPr>
        <w:t xml:space="preserve">it</w:t>
      </w:r>
      <w:r>
        <w:t>]</w:t>
      </w:r>
      <w:r>
        <w:t xml:space="preserve"> has been shown to be harmless to pets or specialty pets. The permanent or provisional listing of an artificial color in 21 C.F.R. Part 70, 71, 73, 74, 80, 81, or 82, or 501.22 as safe for use, together with the conditions, limitations, and tolerances, if any, shall constitute evidence that the color is harmless to pets or specialty pets.</w:t>
      </w:r>
    </w:p>
    <w:p>
      <w:pPr>
        <w:pStyle w:val="kar_section"/>
      </w:pPr>
      <w:r>
        <w:t xml:space="preserve">Section 2.</w:t>
      </w:r>
      <w:r>
        <w:t xml:space="preserve"> </w:t>
      </w:r>
      <w:r>
        <w:t xml:space="preserve">Before approval of a label and a registration application, the distributor of a pet food, containing an additive including a drug, another special purpose additive, or a nonnutritive additive shall, upon request of the director, submit evidence to prove the safety and efficacy of the pet food if used according to label directions. Evidence of the safety and efficacy of a pet food or specialty pet food shall be:</w:t>
      </w:r>
    </w:p>
    <w:p>
      <w:pPr>
        <w:pStyle w:val="kar_subsection"/>
      </w:pPr>
      <w:r>
        <w:t xml:space="preserve">(1)</w:t>
      </w:r>
      <w:r>
        <w:t xml:space="preserve"> </w:t>
      </w:r>
      <w:r>
        <w:t xml:space="preserve">If the pet food or specialty pet food contains an additive that conforms to 21 C.F.R. 570.3(1), 570.30, or Part 582; or</w:t>
      </w:r>
    </w:p>
    <w:p>
      <w:pPr>
        <w:pStyle w:val="kar_subsection"/>
      </w:pPr>
      <w:r>
        <w:t xml:space="preserve">(2)</w:t>
      </w:r>
      <w:r>
        <w:t xml:space="preserve"> </w:t>
      </w:r>
      <w:r>
        <w:t xml:space="preserve">If the pet food or specialty pet food is a drug as defined by KRS 250.501(7) and is generally recognized by the Food and Drug Administration as safe and effective for its labeled use or is marketed </w:t>
      </w:r>
      <w:r>
        <w:rPr>
          <w:b/>
          <w:u w:val="single"/>
        </w:rPr>
        <w:t xml:space="preserve">pursuant</w:t>
      </w:r>
      <w:r>
        <w:t>[</w:t>
      </w:r>
      <w:r>
        <w:rPr>
          <w:b/>
          <w:strike w:val="true"/>
        </w:rPr>
        <w:t xml:space="preserve">subject</w:t>
      </w:r>
      <w:r>
        <w:t>]</w:t>
      </w:r>
      <w:r>
        <w:t xml:space="preserve"> to an application approved by the Food and Drug Administration under 21 U.S.C. 360(b).</w:t>
      </w:r>
    </w:p>
    <w:p>
      <w:pPr>
        <w:pStyle w:val="kar_section"/>
      </w:pPr>
      <w:r>
        <w:t xml:space="preserve">Section 3.</w:t>
      </w:r>
      <w:r>
        <w:t xml:space="preserve"> </w:t>
      </w:r>
      <w:r>
        <w:t xml:space="preserve">If a drug is included in a pet food or specialty pet food, the medicated labeling format recommended by the Association of American Feed Control Officials </w:t>
      </w:r>
      <w:r>
        <w:rPr>
          <w:b/>
          <w:u w:val="single"/>
        </w:rPr>
        <w:t xml:space="preserve">(AAFCO), incorporated by reference in 12 KAR 3:012,</w:t>
      </w:r>
      <w:r>
        <w:t>[</w:t>
      </w:r>
      <w:r>
        <w:rPr>
          <w:b/>
          <w:strike w:val="true"/>
        </w:rPr>
        <w:t xml:space="preserve">in its </w:t>
      </w:r>
      <w:r>
        <w:t>]</w:t>
      </w:r>
      <w:r>
        <w:t>[</w:t>
      </w:r>
      <w:r>
        <w:rPr>
          <w:b/>
          <w:strike w:val="true"/>
          <w:u w:val="single"/>
        </w:rPr>
        <w:t xml:space="preserve">2023</w:t>
      </w:r>
      <w:r>
        <w:t>]</w:t>
      </w:r>
      <w:r>
        <w:t>[</w:t>
      </w:r>
      <w:r>
        <w:rPr>
          <w:strike w:val="true"/>
        </w:rPr>
        <w:t xml:space="preserve">2018</w:t>
      </w:r>
      <w:r>
        <w:t>]</w:t>
      </w:r>
      <w:r>
        <w:t xml:space="preserve"> Official Publication shall be used to </w:t>
      </w:r>
      <w:r>
        <w:rPr>
          <w:b/>
          <w:u w:val="single"/>
        </w:rPr>
        <w:t xml:space="preserve">ensure</w:t>
      </w:r>
      <w:r>
        <w:t>[</w:t>
      </w:r>
      <w:r>
        <w:rPr>
          <w:b/>
          <w:strike w:val="true"/>
          <w:u w:val="single"/>
        </w:rPr>
        <w:t xml:space="preserve">insure</w:t>
      </w:r>
      <w:r>
        <w:t>]</w:t>
      </w:r>
      <w:r>
        <w:t xml:space="preserve"> that adequate labeling is provided.</w:t>
      </w:r>
    </w:p>
    <w:p>
      <w:pPr>
        <w:pStyle w:val="kar_section"/>
      </w:pPr>
      <w:r>
        <w:t>[</w:t>
      </w:r>
      <w:r>
        <w:rPr>
          <w:b/>
          <w:strike w:val="true"/>
        </w:rPr>
        <w:t xml:space="preserve">Section 4.</w:t>
      </w:r>
      <w:r>
        <w:t>]</w:t>
      </w:r>
      <w:r>
        <w:t xml:space="preserve"> </w:t>
      </w:r>
      <w:r>
        <w:t>[</w:t>
      </w:r>
      <w:r>
        <w:rPr>
          <w:b/>
          <w:strike w:val="true"/>
        </w:rPr>
        <w:t xml:space="preserve">Incorporation by Reference.</w:t>
      </w:r>
      <w:r>
        <w:t>]</w:t>
      </w:r>
    </w:p>
    <w:p>
      <w:pPr>
        <w:pStyle w:val="kar_subsection"/>
      </w:pPr>
      <w:r>
        <w:t>[</w:t>
      </w:r>
      <w:r>
        <w:rPr>
          <w:b/>
          <w:strike w:val="true"/>
        </w:rPr>
        <w:t xml:space="preserve">(1)</w:t>
      </w:r>
      <w:r>
        <w:t>]</w:t>
      </w:r>
      <w:r>
        <w:t xml:space="preserve"> </w:t>
      </w:r>
      <w:r>
        <w:t>[</w:t>
      </w:r>
      <w:r>
        <w:rPr>
          <w:b/>
          <w:strike w:val="true"/>
        </w:rPr>
        <w:t xml:space="preserve">"</w:t>
      </w:r>
      <w:r>
        <w:t>]</w:t>
      </w:r>
      <w:r>
        <w:t>[</w:t>
      </w:r>
      <w:r>
        <w:rPr>
          <w:b/>
          <w:strike w:val="true"/>
          <w:u w:val="single"/>
        </w:rPr>
        <w:t xml:space="preserve">2023</w:t>
      </w:r>
      <w:r>
        <w:t>]</w:t>
      </w:r>
      <w:r>
        <w:t>[</w:t>
      </w:r>
      <w:r>
        <w:rPr>
          <w:b/>
          <w:strike w:val="true"/>
        </w:rPr>
        <w:t xml:space="preserve">2018</w:t>
      </w:r>
      <w:r>
        <w:t>]</w:t>
      </w:r>
      <w:r>
        <w:t>[</w:t>
      </w:r>
      <w:r>
        <w:rPr>
          <w:b/>
          <w:strike w:val="true"/>
        </w:rPr>
        <w:t xml:space="preserve"> Official Publication", (</w:t>
      </w:r>
      <w:r>
        <w:t>]</w:t>
      </w:r>
      <w:r>
        <w:t>[</w:t>
      </w:r>
      <w:r>
        <w:rPr>
          <w:b/>
          <w:strike w:val="true"/>
          <w:u w:val="single"/>
        </w:rPr>
        <w:t xml:space="preserve">2023</w:t>
      </w:r>
      <w:r>
        <w:t>]</w:t>
      </w:r>
      <w:r>
        <w:t>[</w:t>
      </w:r>
      <w:r>
        <w:rPr>
          <w:b/>
          <w:strike w:val="true"/>
        </w:rPr>
        <w:t xml:space="preserve">2018</w:t>
      </w:r>
      <w:r>
        <w:t>]</w:t>
      </w:r>
      <w:r>
        <w:t>[</w:t>
      </w:r>
      <w:r>
        <w:rPr>
          <w:b/>
          <w:strike w:val="true"/>
        </w:rPr>
        <w:t xml:space="preserve"> Edition), Association of American Feed Control Officials, is incorporated by reference.</w:t>
      </w:r>
      <w:r>
        <w:t>]</w:t>
      </w:r>
    </w:p>
    <w:p>
      <w:pPr>
        <w:pStyle w:val="kar_subsection"/>
      </w:pPr>
      <w:r>
        <w:t>[</w:t>
      </w:r>
      <w:r>
        <w:rPr>
          <w:b/>
          <w:strike w:val="true"/>
        </w:rPr>
        <w:t xml:space="preserve">(2)</w:t>
      </w:r>
      <w:r>
        <w:t>]</w:t>
      </w:r>
      <w:r>
        <w:t xml:space="preserve"> </w:t>
      </w:r>
      <w:r>
        <w:t>[</w:t>
      </w:r>
      <w:r>
        <w:rPr>
          <w:b/>
          <w:strike w:val="true"/>
        </w:rP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r>
        <w:t>]</w:t>
      </w:r>
    </w:p>
    <w:p>
      <w:pPr>
        <w:pStyle w:val="kar_signature"/>
      </w:pPr>
      <w:r>
        <w:t xml:space="preserve">DR. JAMES MATTHEWS, Director of Agricultural Experiment Station</w:t>
      </w:r>
    </w:p>
    <w:p>
      <w:pPr>
        <w:pStyle w:val="kar_normal"/>
      </w:pPr>
      <w:r>
        <w:t xml:space="preserve"/>
      </w:r>
    </w:p>
    <w:p>
      <w:pPr>
        <w:pStyle w:val="kar_approved_by"/>
      </w:pPr>
      <w:r>
        <w:t xml:space="preserve">APPROVED BY AGENCY: January 13, 2026</w:t>
      </w:r>
    </w:p>
    <w:p>
      <w:pPr>
        <w:pStyle w:val="kar_filed"/>
      </w:pPr>
      <w:r>
        <w:t xml:space="preserve">FILED WITH LRC: January 15, 2026 at 10:00 a.m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G. Alan Harrison </w:t>
      </w:r>
    </w:p>
    <w:p>
      <w:pPr>
        <w:pStyle w:val="kar_normal"/>
        <w:ind w:left="0"/>
      </w:pPr>
      <w:r>
        <w:t xml:space="preserve">Subject Headings:</w:t>
      </w:r>
      <w:r>
        <w:t xml:space="preserve"> Agriculture, Pet Food and Feed, Consumer Protection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to ensure that a drug or additive used in pet food or specialty pet food is safe and effective for its intended purpose.</w:t>
      </w:r>
    </w:p>
    <w:p>
      <w:pPr>
        <w:pStyle w:val="kar_normal"/>
        <w:ind w:left="576"/>
      </w:pPr>
      <w:r>
        <w:t xml:space="preserve">(b) The necessity of this administrative regulation:</w:t>
      </w:r>
    </w:p>
    <w:p>
      <w:pPr>
        <w:pStyle w:val="kar_normal"/>
        <w:ind w:left="720"/>
      </w:pPr>
      <w:r>
        <w:t xml:space="preserve">Provide guidelines for safe use of drugs and additives in pet or specialty pet foods.</w:t>
      </w:r>
    </w:p>
    <w:p>
      <w:pPr>
        <w:pStyle w:val="kar_normal"/>
        <w:ind w:left="576"/>
      </w:pPr>
      <w:r>
        <w:t xml:space="preserve">(c) How this administrative regulation conforms to the content of the authorizing statutes:</w:t>
      </w:r>
    </w:p>
    <w:p>
      <w:pPr>
        <w:pStyle w:val="kar_normal"/>
        <w:ind w:left="720"/>
      </w:pPr>
      <w:r>
        <w:t xml:space="preserve">Helps allow for the efficient enforcement of KRS 250.491 to 250.631, regarding commercial feeds.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Defines proper usage of drugs or additives in pet or specialty pet foods.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usage of the Official Publication of the American Association of Feed Control Officials (AAFCO) from the 2018 Edition to the 2025 edition.</w:t>
      </w:r>
    </w:p>
    <w:p>
      <w:pPr>
        <w:pStyle w:val="kar_normal"/>
        <w:ind w:left="576"/>
      </w:pPr>
      <w:r>
        <w:t xml:space="preserve">(b) The necessity of the amendment to this administrative regulation:</w:t>
      </w:r>
    </w:p>
    <w:p>
      <w:pPr>
        <w:pStyle w:val="kar_normal"/>
        <w:ind w:left="720"/>
      </w:pPr>
      <w:r>
        <w:t xml:space="preserve">The feed ingredient and feed terms defined in the Official Publication of AAFCO needed to be updated from the older version to a more modern version.</w:t>
      </w:r>
    </w:p>
    <w:p>
      <w:pPr>
        <w:pStyle w:val="kar_normal"/>
        <w:ind w:left="576"/>
      </w:pPr>
      <w:r>
        <w:t xml:space="preserve">(c) How the amendment conforms to the content of the authorizing statutes:</w:t>
      </w:r>
    </w:p>
    <w:p>
      <w:pPr>
        <w:pStyle w:val="kar_normal"/>
        <w:ind w:left="720"/>
      </w:pPr>
      <w:r>
        <w:t xml:space="preserve">Updates terms and definitions used to regulate the feed industry.</w:t>
      </w:r>
    </w:p>
    <w:p>
      <w:pPr>
        <w:pStyle w:val="kar_normal"/>
        <w:ind w:left="576"/>
      </w:pPr>
      <w:r>
        <w:t xml:space="preserve">(d) How the amendment will assist in the effective administration of the statutes:</w:t>
      </w:r>
    </w:p>
    <w:p>
      <w:pPr>
        <w:pStyle w:val="kar_normal"/>
        <w:ind w:left="720"/>
      </w:pPr>
      <w:r>
        <w:t xml:space="preserve">These updates are beneficial to both the regulatory body and the regulated industry as it brings in new terms and definitions that have been developed since 2018.</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Firms which register commercial feeds in Kentucky will be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action required by distributors of animal feed. No significant action is required by manufacturers of animal feed.</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cost.</w:t>
      </w:r>
    </w:p>
    <w:p>
      <w:pPr>
        <w:pStyle w:val="kar_normal"/>
        <w:ind w:left="576"/>
      </w:pPr>
      <w:r>
        <w:t xml:space="preserve">(c) As a result of compliance, what benefits will accrue to the entities identified in question (4):</w:t>
      </w:r>
    </w:p>
    <w:p>
      <w:pPr>
        <w:pStyle w:val="kar_normal"/>
        <w:ind w:left="720"/>
      </w:pPr>
      <w:r>
        <w:t xml:space="preserve">No significant benefit to distributors of animal feed. Manufacturers of animal feed may benefit from additional ingredients available for use in products and more descriptive ingredient definitions.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Division of Regulatory Services regular annual budget is the source of funding.</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new fees and no increase in existing fees.</w:t>
      </w:r>
    </w:p>
    <w:p>
      <w:pPr>
        <w:pStyle w:val="kar_normal"/>
        <w:ind w:left="288"/>
      </w:pPr>
      <w:r>
        <w:t xml:space="preserve">(10) TIERING: Is tiering applied?</w:t>
      </w:r>
    </w:p>
    <w:p>
      <w:pPr>
        <w:pStyle w:val="kar_normal"/>
        <w:ind w:left="432"/>
      </w:pPr>
      <w:r>
        <w:t xml:space="preserve">No, this administrative regulation treats all regulated entities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250.571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250.571</w:t>
      </w:r>
    </w:p>
    <w:p>
      <w:pPr>
        <w:pStyle w:val="kar_normal"/>
        <w:ind w:left="288"/>
      </w:pPr>
      <w:r>
        <w:t xml:space="preserve">(3)(a) Identify the promulgating agency and any other affected state units, parts, or divisions:</w:t>
      </w:r>
    </w:p>
    <w:p>
      <w:pPr>
        <w:pStyle w:val="kar_normal"/>
        <w:ind w:left="432"/>
      </w:pPr>
      <w:r>
        <w:t xml:space="preserve">University of Kentucky Division of Regulatory Services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2. Revenues: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3. Cost Savings: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288"/>
      </w:pPr>
      <w:r>
        <w:t xml:space="preserve">(4)(a) Identify affected local entities (for example: cities, counties, fire departments, school districts):</w:t>
      </w:r>
    </w:p>
    <w:p>
      <w:pPr>
        <w:pStyle w:val="kar_normal"/>
        <w:ind w:left="432"/>
      </w:pPr>
      <w:r>
        <w:t xml:space="preserve">No impact on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(5)(a) Identify any affected regulated entities not listed in (3)(a) or (4)(a):</w:t>
      </w:r>
    </w:p>
    <w:p>
      <w:pPr>
        <w:pStyle w:val="kar_normal"/>
        <w:ind w:left="432"/>
      </w:pPr>
      <w:r>
        <w:t xml:space="preserve">No impact on other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regulation is being updated to reference the latest recommendations from the Association of American Feed Control Officials with regards to ingredient definitions and labeling of pet food.</w:t>
      </w:r>
    </w:p>
    <w:p>
      <w:pPr>
        <w:pStyle w:val="kar_normal"/>
        <w:ind w:left="288"/>
      </w:pPr>
      <w:r>
        <w:t xml:space="preserve">(b) Methodology and resources used to reach this conclusion:</w:t>
      </w:r>
    </w:p>
    <w:p>
      <w:pPr>
        <w:pStyle w:val="kar_normal"/>
        <w:ind w:left="432"/>
      </w:pPr>
      <w:r>
        <w:t xml:space="preserve">Minor changes in regulation affect only manufacturers and guarantors of pet food.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pPr>
      <w:r>
        <w:t xml:space="preserve">Minor changes in regulation affect only manufacturers and guarantors of pet food.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Federal Food, Drug, and Cosmetic Act and C.F.R. 21</w:t>
      </w:r>
    </w:p>
    <w:p>
      <w:pPr>
        <w:pStyle w:val="kar_normal"/>
        <w:ind w:left="288"/>
      </w:pPr>
      <w:r>
        <w:t xml:space="preserve">(2) State compliance standards.</w:t>
      </w:r>
    </w:p>
    <w:p>
      <w:pPr>
        <w:pStyle w:val="kar_normal"/>
        <w:ind w:left="432"/>
      </w:pPr>
      <w:r>
        <w:t xml:space="preserve">In harmony with federal standards.</w:t>
      </w:r>
    </w:p>
    <w:p>
      <w:pPr>
        <w:pStyle w:val="kar_normal"/>
        <w:ind w:left="288"/>
      </w:pPr>
      <w:r>
        <w:t xml:space="preserve">(3) Minimum or uniform standards contained in the federal mandate.</w:t>
      </w:r>
    </w:p>
    <w:p>
      <w:pPr>
        <w:pStyle w:val="kar_normal"/>
        <w:ind w:left="432"/>
      </w:pPr>
      <w:r>
        <w:t xml:space="preserve">Standards developed by the Association of American Feed Control Officials are in harmony with federal standards.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d220917f7b481b" /><Relationship Type="http://schemas.openxmlformats.org/officeDocument/2006/relationships/settings" Target="/word/settings.xml" Id="R25fba672d84444ec" /></Relationships>
</file>