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995f3bbad549f4"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w:t>
      </w:r>
      <w:r>
        <w:rPr>
          <w:b/>
          <w:u w:val="single"/>
        </w:rPr>
        <w:t xml:space="preserve">include</w:t>
      </w:r>
      <w:r>
        <w:t>[</w:t>
      </w:r>
      <w:r>
        <w:rPr>
          <w:b/>
          <w:strike w:val="true"/>
        </w:rPr>
        <w:t xml:space="preserve">bear</w:t>
      </w:r>
      <w:r>
        <w:t>]</w:t>
      </w:r>
      <w:r>
        <w:t xml:space="preserve">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w:t>
      </w:r>
      <w:r>
        <w:rPr>
          <w:b/>
          <w:u w:val="single"/>
        </w:rPr>
        <w:t xml:space="preserve">shall</w:t>
      </w:r>
      <w:r>
        <w:t>[</w:t>
      </w:r>
      <w:r>
        <w:rPr>
          <w:b/>
          <w:strike w:val="true"/>
        </w:rPr>
        <w:t xml:space="preserve">must</w:t>
      </w:r>
      <w:r>
        <w:t>]</w:t>
      </w:r>
      <w:r>
        <w:t xml:space="preserve">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4c3e50bceac54736"/>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c3f525767bdb4654"/>
          </v:shape>
        </w:pict>
      </w:r>
    </w:p>
    <w:p>
      <w:pPr>
        <w:pStyle w:val="kar_paragraph"/>
      </w:pPr>
      <w:r>
        <w:t xml:space="preserve">(b)</w:t>
      </w:r>
      <w:r>
        <w:t xml:space="preserve"> </w:t>
      </w:r>
      <w:r>
        <w:t xml:space="preserve">In accordance with a testing procedure established by </w:t>
      </w:r>
      <w:r>
        <w:rPr>
          <w:b/>
          <w:u w:val="single"/>
        </w:rPr>
        <w:t xml:space="preserve">the Association of American Feed Control Officials (AAFCO), incorporated by reference in 12 KAR 3:012</w:t>
      </w:r>
      <w:r>
        <w:t>[</w:t>
      </w:r>
      <w:r>
        <w:rPr>
          <w:b/>
          <w:strike w:val="true"/>
        </w:rPr>
        <w:t xml:space="preserve">AAFCO</w:t>
      </w:r>
      <w:r>
        <w:t>]</w:t>
      </w:r>
      <w:r>
        <w:t xml:space="preserve">.</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rPr>
          <w:b/>
          <w:u w:val="single"/>
        </w:rPr>
        <w:t xml:space="preserve">Regulations in Sections 1 through 2 shall remain in effect until June 30, 2030.</w:t>
      </w:r>
    </w:p>
    <w:p>
      <w:pPr>
        <w:pStyle w:val="kar_section"/>
      </w:pPr>
      <w:r>
        <w:rPr>
          <w:b/>
          <w:u w:val="single"/>
        </w:rPr>
        <w:t xml:space="preserve">Section 4.</w:t>
      </w:r>
      <w:r>
        <w:t xml:space="preserve"> </w:t>
      </w:r>
      <w:r>
        <w:rPr>
          <w:b/>
          <w:u w:val="single"/>
        </w:rPr>
        <w:t xml:space="preserve">The statement shall be determined in terms of metabolizable energy (ME) on an "as fed" moisture basis by one of the following methods then converted to Calories (kcal) per the familiar household unit (i.e., can, measuring cup, treat, or piece):</w:t>
      </w:r>
    </w:p>
    <w:p>
      <w:pPr>
        <w:pStyle w:val="kar_subsection"/>
      </w:pPr>
      <w:r>
        <w:rPr>
          <w:b/>
          <w:u w:val="single"/>
        </w:rPr>
        <w:t xml:space="preserve">(1)</w:t>
      </w:r>
      <w:r>
        <w:t xml:space="preserve"> </w:t>
      </w:r>
      <w:r>
        <w:rPr>
          <w:b/>
          <w:u w:val="single"/>
        </w:rPr>
        <w:t xml:space="preserve">By calculation (indicated with a "†"in the Pet Nutrition Facts) using the following "Modified Atwater" formula: ME (kcal/kg) = 10[(3.5 × CP) + (8.5 × CF) + (3.5 × NFE)], where ME = metabolizable energy, CP = % crude protein "as fed," CF = % crude fat "as fed," NFE = % nitrogen-free extract (carbohydrate) "as fed," and the percentages of CP and CF are the average values of these components in the product as determined by sound scientific methods, such as, but not limited to scientifically accurate calculations made from the formula of the product or upon chemical analysis of the product. The NFE is calculated as the difference between 100 and the sum of CP, CF, and the percentages of crude fiber, moisture, and ash (determined in the same manner as CP and CF); or</w:t>
      </w:r>
    </w:p>
    <w:p>
      <w:pPr>
        <w:pStyle w:val="kar_subsection"/>
      </w:pPr>
      <w:r>
        <w:rPr>
          <w:b/>
          <w:u w:val="single"/>
        </w:rPr>
        <w:t xml:space="preserve">(2)</w:t>
      </w:r>
      <w:r>
        <w:t xml:space="preserve"> </w:t>
      </w:r>
      <w:r>
        <w:rPr>
          <w:b/>
          <w:u w:val="single"/>
        </w:rPr>
        <w:t xml:space="preserve">In accordance with testing procedures determined by the Association of American Feed Control Officials (AAFCO) and indicated as "fed" in the Pet Nutrition Facts (12 KAR 3:022 Section 10).</w:t>
      </w:r>
    </w:p>
    <w:p>
      <w:pPr>
        <w:pStyle w:val="kar_section"/>
      </w:pPr>
      <w:r>
        <w:rPr>
          <w:b/>
          <w:u w:val="single"/>
        </w:rPr>
        <w:t xml:space="preserve">Section 5.</w:t>
      </w:r>
      <w:r>
        <w:t xml:space="preserve"> </w:t>
      </w:r>
      <w:r>
        <w:rPr>
          <w:b/>
          <w:u w:val="single"/>
        </w:rPr>
        <w:t xml:space="preserve">An affidavit shall be provided upon the request of [regulatory authority], substantiating that the Calorie content was determined by:</w:t>
      </w:r>
    </w:p>
    <w:p>
      <w:pPr>
        <w:pStyle w:val="kar_subsection"/>
      </w:pPr>
      <w:r>
        <w:rPr>
          <w:b/>
          <w:u w:val="single"/>
        </w:rPr>
        <w:t xml:space="preserve">(1)</w:t>
      </w:r>
      <w:r>
        <w:t xml:space="preserve"> </w:t>
      </w:r>
      <w:r>
        <w:rPr>
          <w:b/>
          <w:u w:val="single"/>
        </w:rPr>
        <w:t xml:space="preserve">Regulation 12 KAR 3:042 Section 4 (1) in which case the summary data used in the calculation shall be included in the affidavit; or</w:t>
      </w:r>
    </w:p>
    <w:p>
      <w:pPr>
        <w:pStyle w:val="kar_subsection"/>
      </w:pPr>
      <w:r>
        <w:rPr>
          <w:b/>
          <w:u w:val="single"/>
        </w:rPr>
        <w:t xml:space="preserve">(2)</w:t>
      </w:r>
      <w:r>
        <w:t xml:space="preserve"> </w:t>
      </w:r>
      <w:r>
        <w:rPr>
          <w:b/>
          <w:u w:val="single"/>
        </w:rPr>
        <w:t xml:space="preserve">Regulation 12 KAR 3:042 Section 4 (2) in which case the summary data used in the determination of Calorie content shall accompany the affidavit.</w:t>
      </w:r>
    </w:p>
    <w:p>
      <w:pPr>
        <w:pStyle w:val="kar_section"/>
      </w:pPr>
      <w:r>
        <w:rPr>
          <w:b/>
          <w:u w:val="single"/>
        </w:rPr>
        <w:t xml:space="preserve">Section 6.</w:t>
      </w:r>
      <w:r>
        <w:t xml:space="preserve"> </w:t>
      </w:r>
      <w:r>
        <w:rPr>
          <w:b/>
          <w:u w:val="single"/>
        </w:rPr>
        <w:t xml:space="preserve">The Calories from protein, fat, and carbohydrate as required in the Pet Nutrition Facts are determined using the following calculation, then converted to Calories (kcal) per the familiar household unit (i.e., can, measuring cup, treat, or piece):</w:t>
      </w:r>
    </w:p>
    <w:p>
      <w:pPr>
        <w:pStyle w:val="kar_subsection"/>
      </w:pPr>
      <w:r>
        <w:rPr>
          <w:b/>
          <w:u w:val="single"/>
        </w:rPr>
        <w:t xml:space="preserve">(1)</w:t>
      </w:r>
      <w:r>
        <w:t xml:space="preserve"> </w:t>
      </w:r>
      <w:r>
        <w:rPr>
          <w:b/>
          <w:u w:val="single"/>
        </w:rPr>
        <w:t xml:space="preserve">Protein: ME (kcal/kg) = 10(3.5 × CP), where ME = metabolizable energy, CP = % crude protein "as fed" and the percentage of CP is the average value in the product as determined by sound scientific methods, such as, but not limited to scientifically accurate calculations made from the formula of the product or upon chemical analysis of the product.</w:t>
      </w:r>
    </w:p>
    <w:p>
      <w:pPr>
        <w:pStyle w:val="kar_subsection"/>
      </w:pPr>
      <w:r>
        <w:rPr>
          <w:b/>
          <w:u w:val="single"/>
        </w:rPr>
        <w:t xml:space="preserve">(2)</w:t>
      </w:r>
      <w:r>
        <w:t xml:space="preserve"> </w:t>
      </w:r>
      <w:r>
        <w:rPr>
          <w:b/>
          <w:u w:val="single"/>
        </w:rPr>
        <w:t xml:space="preserve">Fat: ME (kcal/kg) = 10(8.5 × CF), where ME = metabolizable energy, CF = % crude fat "as fed" and the percentage of CF is the average value in the product as determined by sound scientific methods, such as, but not limited to scientifically accurate calculations made from the formula of the product or upon chemical analysis of the product.</w:t>
      </w:r>
    </w:p>
    <w:p>
      <w:pPr>
        <w:pStyle w:val="kar_subsection"/>
      </w:pPr>
      <w:r>
        <w:rPr>
          <w:b/>
          <w:u w:val="single"/>
        </w:rPr>
        <w:t xml:space="preserve">(3)</w:t>
      </w:r>
      <w:r>
        <w:t xml:space="preserve"> </w:t>
      </w:r>
      <w:r>
        <w:rPr>
          <w:b/>
          <w:u w:val="single"/>
        </w:rPr>
        <w:t xml:space="preserve">Carbohydrate: ME (kcal/kg) = 10(3.5 × NFE), where ME = metabolizable energy, NFE is calculated as the difference between 100 and the sum of CP, CF, and the percentages of crude fiber, moisture, and ash; CP = % crude protein "as fed," CF = % crude fat "as fed" and the percentages are the average values of these components in the product as determined by sound scientific methods, such as, but not limited to scientifically accurate calculations made from the formula of the product or upon chemical analysis of the product.</w:t>
      </w:r>
    </w:p>
    <w:p>
      <w:pPr>
        <w:pStyle w:val="kar_section"/>
      </w:pPr>
      <w:r>
        <w:rPr>
          <w:b/>
          <w:u w:val="single"/>
        </w:rPr>
        <w:t xml:space="preserve">Section 7.</w:t>
      </w:r>
      <w:r>
        <w:t xml:space="preserve"> </w:t>
      </w:r>
      <w:r>
        <w:rPr>
          <w:b/>
          <w:u w:val="single"/>
        </w:rPr>
        <w:t xml:space="preserve">Comparative claims shall not be false, misleading, or given undue emphasis and shall be based on the same methodology for the products compared.</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w:t>
      </w:r>
      <w:r>
        <w:rPr>
          <w:b/>
          <w:strike w:val="true"/>
          <w:u w:val="single"/>
        </w:rPr>
        <w:t xml:space="preserve">2023</w:t>
      </w:r>
      <w:r>
        <w:rPr>
          <w:b/>
          <w:strike w:val="true"/>
        </w:rPr>
        <w:t xml:space="preserve">[2018] Official Publication", (</w:t>
      </w:r>
      <w:r>
        <w:rPr>
          <w:b/>
          <w:strike w:val="true"/>
          <w:u w:val="single"/>
        </w:rPr>
        <w:t xml:space="preserve">2023</w:t>
      </w:r>
      <w:r>
        <w:rPr>
          <w:b/>
          <w:strike w:val="true"/>
        </w:rPr>
        <w:t xml:space="preserve">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procedure for determining the caloric content of dog and cat foods and expressing it on product labels.</w:t>
      </w:r>
    </w:p>
    <w:p>
      <w:pPr>
        <w:pStyle w:val="kar_normal"/>
        <w:ind w:left="576"/>
      </w:pPr>
      <w:r>
        <w:t xml:space="preserve">(b) The necessity of this administrative regulation:</w:t>
      </w:r>
    </w:p>
    <w:p>
      <w:pPr>
        <w:pStyle w:val="kar_normal"/>
        <w:ind w:left="720"/>
      </w:pPr>
      <w:r>
        <w:t xml:space="preserve">Provide needed information to consumers.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direction in product labeling.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Transition to new PFLM label format by 2030.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may be some increased cost as industry moves from one label format to another. By allowing a transition period before PFLM changes must occur, the industry can make these changes as products are updated.</w:t>
      </w:r>
    </w:p>
    <w:p>
      <w:pPr>
        <w:pStyle w:val="kar_normal"/>
        <w:ind w:left="576"/>
      </w:pPr>
      <w:r>
        <w:t xml:space="preserve">(c) As a result of compliance, what benefits will accrue to the entities identified in question (4):</w:t>
      </w:r>
    </w:p>
    <w:p>
      <w:pPr>
        <w:pStyle w:val="kar_normal"/>
        <w:ind w:left="720"/>
      </w:pPr>
      <w:r>
        <w:t xml:space="preserve">The pet food industry was represented in the development of PFLM and supports the changes.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c95a4a28854ac1" /><Relationship Type="http://schemas.openxmlformats.org/officeDocument/2006/relationships/image" Target="/media/image.png" Id="R4c3e50bceac54736" /><Relationship Type="http://schemas.openxmlformats.org/officeDocument/2006/relationships/image" Target="/media/image2.png" Id="Rc3f525767bdb4654" /><Relationship Type="http://schemas.openxmlformats.org/officeDocument/2006/relationships/settings" Target="/word/settings.xml" Id="Rbd2c655089a2402a" /></Relationships>
</file>