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f246bbf7f147a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w:t>
      </w:r>
      <w:r>
        <w:rPr>
          <w:b/>
          <w:i/>
          <w:u w:val="single"/>
        </w:rPr>
        <w:t xml:space="preserve">321.175, </w:t>
      </w:r>
      <w:r>
        <w:t xml:space="preserve">321.181, 321.203, 321.205, 321.235, 321.236</w:t>
      </w:r>
      <w:r>
        <w:rPr>
          <w:u w:val="single"/>
        </w:rPr>
        <w:t xml:space="preserve">, 321.251, 321.255</w:t>
      </w:r>
    </w:p>
    <w:p>
      <w:pPr>
        <w:pStyle w:val="kar_markup_metadata"/>
      </w:pPr>
      <w:r>
        <w:t xml:space="preserve">STATUTORY AUTHORITY: </w:t>
      </w:r>
      <w:r>
        <w:t xml:space="preserve">KRS </w:t>
      </w:r>
      <w:r>
        <w:t>[</w:t>
      </w:r>
      <w:r>
        <w:rPr>
          <w:b/>
          <w:i/>
          <w:strike w:val="true"/>
          <w:u w:val="single"/>
        </w:rPr>
        <w:t xml:space="preserve">321.175(2)(c), (4), (5), </w:t>
      </w:r>
      <w:r>
        <w:t>]</w:t>
      </w:r>
      <w:r>
        <w:rPr>
          <w:u w:val="single"/>
        </w:rPr>
        <w:t xml:space="preserve">321.181(1)-(4), 321.203, 321.205,</w:t>
      </w:r>
      <w:r>
        <w:t xml:space="preserve"> 321.235(1)(b), 321.236(1)(b)</w:t>
      </w:r>
      <w:r>
        <w:rPr>
          <w:u w:val="single"/>
        </w:rPr>
        <w:t xml:space="preserve">, </w:t>
      </w:r>
      <w:r>
        <w:rPr>
          <w:b/>
          <w:i/>
          <w:u w:val="single"/>
        </w:rPr>
        <w:t xml:space="preserve">(5)</w:t>
      </w:r>
      <w:r>
        <w:t>[</w:t>
      </w:r>
      <w:r>
        <w:rPr>
          <w:b/>
          <w:i/>
          <w:strike w:val="true"/>
          <w:u w:val="single"/>
        </w:rPr>
        <w:t xml:space="preserve">321.236</w:t>
      </w:r>
      <w:r>
        <w:t>]</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w:t>
      </w:r>
      <w:r>
        <w:rPr>
          <w:b/>
          <w:i/>
          <w:strike w:val="true"/>
        </w:rPr>
        <w:t xml:space="preserve">"Fixed facility" is defined by KRS 321.181(38).</w:t>
      </w:r>
      <w:r>
        <w:t>]</w:t>
      </w:r>
    </w:p>
    <w:p>
      <w:pPr>
        <w:pStyle w:val="kar_subsection"/>
      </w:pPr>
      <w:r>
        <w:t>[</w:t>
      </w:r>
      <w:r>
        <w:rPr>
          <w:b/>
          <w:i/>
          <w:strike w:val="true"/>
        </w:rPr>
        <w:t xml:space="preserve">(4)</w:t>
      </w:r>
      <w:r>
        <w:t>]</w:t>
      </w:r>
      <w:r>
        <w:t xml:space="preserve"> </w:t>
      </w:r>
      <w:r>
        <w:t xml:space="preserve">"Mobile facility" or "mobile unit" is defined by KRS 321.181</w:t>
      </w:r>
      <w:r>
        <w:rPr>
          <w:b/>
          <w:i/>
          <w:u w:val="single"/>
        </w:rPr>
        <w:t xml:space="preserve">(48)</w:t>
      </w:r>
      <w:r>
        <w:t>[</w:t>
      </w:r>
      <w:r>
        <w:rPr>
          <w:b/>
          <w:i/>
          <w:strike w:val="true"/>
        </w:rPr>
        <w:t xml:space="preserve">(46)</w:t>
      </w:r>
      <w:r>
        <w:t>]</w:t>
      </w:r>
      <w:r>
        <w:t xml:space="preserve">.</w:t>
      </w:r>
    </w:p>
    <w:p>
      <w:pPr>
        <w:pStyle w:val="kar_subsection"/>
      </w:pPr>
      <w:r>
        <w:rPr>
          <w:b/>
          <w:i/>
          <w:u w:val="single"/>
        </w:rPr>
        <w:t xml:space="preserve">(4)</w:t>
      </w:r>
      <w:r>
        <w:t>[</w:t>
      </w:r>
      <w:r>
        <w:rPr>
          <w:b/>
          <w:i/>
          <w:strike w:val="true"/>
        </w:rPr>
        <w:t xml:space="preserve">(5)</w:t>
      </w:r>
      <w:r>
        <w:t>]</w:t>
      </w:r>
      <w:r>
        <w:t xml:space="preserve"> </w:t>
      </w:r>
      <w:r>
        <w:t xml:space="preserve">"Registered responsible party" is defined by KRS 321.181</w:t>
      </w:r>
      <w:r>
        <w:rPr>
          <w:b/>
          <w:i/>
          <w:u w:val="single"/>
        </w:rPr>
        <w:t xml:space="preserve">(59)</w:t>
      </w:r>
      <w:r>
        <w:t>[</w:t>
      </w:r>
      <w:r>
        <w:rPr>
          <w:b/>
          <w:i/>
          <w:strike w:val="true"/>
        </w:rPr>
        <w:t xml:space="preserve">(57)</w:t>
      </w:r>
      <w:r>
        <w:t>]</w:t>
      </w:r>
      <w:r>
        <w:t xml:space="preserve">.</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w:t>
      </w:r>
      <w:r>
        <w:rPr>
          <w:u w:val="single"/>
        </w:rPr>
        <w:t xml:space="preserve">AAHP</w:t>
      </w:r>
      <w:r>
        <w:t>[</w:t>
      </w:r>
      <w:r>
        <w:rPr>
          <w:strike w:val="true"/>
        </w:rPr>
        <w:t xml:space="preserve">veterinary</w:t>
      </w:r>
      <w:r>
        <w:t>]</w:t>
      </w:r>
      <w:r>
        <w:t xml:space="preserve"> facility;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w:t>
      </w:r>
      <w:r>
        <w:rPr>
          <w:b/>
          <w:i/>
          <w:u w:val="single"/>
        </w:rPr>
        <w:t xml:space="preserve">established</w:t>
      </w:r>
      <w:r>
        <w:t>[</w:t>
      </w:r>
      <w:r>
        <w:rPr>
          <w:b/>
          <w:i/>
          <w:strike w:val="true"/>
        </w:rPr>
        <w:t xml:space="preserve">promulgated</w:t>
      </w:r>
      <w:r>
        <w:t>]</w:t>
      </w:r>
      <w:r>
        <w:t xml:space="preserve"> by the board in 201 KAR Chapter 16;</w:t>
      </w:r>
    </w:p>
    <w:p>
      <w:pPr>
        <w:pStyle w:val="kar_paragraph"/>
      </w:pPr>
      <w:r>
        <w:t xml:space="preserve">(b)</w:t>
      </w:r>
      <w:r>
        <w:t xml:space="preserve"> </w:t>
      </w:r>
      <w:r>
        <w:t xml:space="preserve">Maintain a Kentucky Board of Veterinary Examiners AAHP </w:t>
      </w:r>
      <w:r>
        <w:rPr>
          <w:u w:val="single"/>
        </w:rPr>
        <w:t xml:space="preserve">license</w:t>
      </w:r>
      <w:r>
        <w:t>[</w:t>
      </w:r>
      <w:r>
        <w:rPr>
          <w:strike w:val="true"/>
        </w:rPr>
        <w:t xml:space="preserve">permit</w:t>
      </w:r>
      <w:r>
        <w:t>]</w:t>
      </w:r>
      <w:r>
        <w:t xml:space="preserve"> in good standing;</w:t>
      </w:r>
    </w:p>
    <w:p>
      <w:pPr>
        <w:pStyle w:val="kar_paragraph"/>
      </w:pPr>
      <w:r>
        <w:t xml:space="preserve">(c)</w:t>
      </w:r>
      <w:r>
        <w:t xml:space="preserve"> </w:t>
      </w:r>
      <w:r>
        <w:t xml:space="preserve">Comply with all provisions of the </w:t>
      </w:r>
      <w:r>
        <w:rPr>
          <w:b/>
          <w:i/>
          <w:u w:val="single"/>
        </w:rPr>
        <w:t xml:space="preserve">KRS Chapter 321</w:t>
      </w:r>
      <w:r>
        <w:t>[</w:t>
      </w:r>
      <w:r>
        <w:rPr>
          <w:b/>
          <w:i/>
          <w:strike w:val="true"/>
        </w:rPr>
        <w:t xml:space="preserve">Kentucky Veterinary Medicine Practice Act</w:t>
      </w:r>
      <w:r>
        <w:t>]</w:t>
      </w:r>
      <w:r>
        <w:t xml:space="preserve"> and 201 KAR Chapter 16, in addition to all local, state, and federal laws governing operations at the AAHP facility; and</w:t>
      </w:r>
    </w:p>
    <w:p>
      <w:pPr>
        <w:pStyle w:val="kar_paragraph"/>
      </w:pPr>
      <w:r>
        <w:t xml:space="preserve">(d)</w:t>
      </w:r>
      <w:r>
        <w:t xml:space="preserve"> </w:t>
      </w:r>
      <w:r>
        <w:t xml:space="preserve">Ensure the current </w:t>
      </w:r>
      <w:r>
        <w:rPr>
          <w:b/>
          <w:i/>
          <w:u w:val="single"/>
        </w:rPr>
        <w:t xml:space="preserve">board-approved</w:t>
      </w:r>
      <w:r>
        <w:t>[</w:t>
      </w:r>
      <w:r>
        <w:rPr>
          <w:b/>
          <w:i/>
          <w:strike w:val="true"/>
        </w:rPr>
        <w:t xml:space="preserve">board approved</w:t>
      </w:r>
      <w:r>
        <w:t>]</w:t>
      </w:r>
      <w:r>
        <w:t xml:space="preserve">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w:t>
      </w:r>
      <w:r>
        <w:rPr>
          <w:b/>
          <w:i/>
          <w:u w:val="single"/>
        </w:rPr>
        <w:t xml:space="preserve"> and</w:t>
      </w:r>
      <w:r>
        <w:t>[</w:t>
      </w:r>
      <w:r>
        <w:rPr>
          <w:b/>
          <w:i/>
          <w:strike w:val="true"/>
        </w:rPr>
        <w:t xml:space="preserve">,</w:t>
      </w:r>
      <w:r>
        <w:t>]</w:t>
      </w:r>
      <w:r>
        <w:t xml:space="preserve">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rPr>
          <w:u w:val="single"/>
        </w:rPr>
        <w:t xml:space="preserve">Physically present</w:t>
      </w:r>
      <w:r>
        <w:t>[</w:t>
      </w:r>
      <w:r>
        <w:rPr>
          <w:strike w:val="true"/>
        </w:rPr>
        <w:t xml:space="preserve">Present</w:t>
      </w:r>
      <w:r>
        <w:t>]</w:t>
      </w:r>
      <w:r>
        <w:t xml:space="preserve"> at the AAHP facility with enough frequency </w:t>
      </w:r>
      <w:r>
        <w:rPr>
          <w:u w:val="single"/>
        </w:rPr>
        <w:t xml:space="preserve">during each month </w:t>
      </w:r>
      <w:r>
        <w:t xml:space="preserve">to have </w:t>
      </w:r>
      <w:r>
        <w:rPr>
          <w:u w:val="single"/>
        </w:rPr>
        <w:t xml:space="preserve">sufficient </w:t>
      </w:r>
      <w:r>
        <w:t xml:space="preserve">knowledge of and control over the facility's methods for complying with minimum standards </w:t>
      </w:r>
      <w:r>
        <w:rPr>
          <w:u w:val="single"/>
        </w:rPr>
        <w:t xml:space="preserve">as established in KRS Chapter 321 and 201 KAR Chapter 16 </w:t>
      </w:r>
      <w:r>
        <w:t xml:space="preserve">and the degree to which the minimum standards are being met;</w:t>
      </w:r>
      <w:r>
        <w:t>[</w:t>
      </w:r>
      <w:r>
        <w:rPr>
          <w:b/>
          <w:i/>
          <w:strike w:val="true"/>
        </w:rPr>
        <w:t xml:space="preserve"> and</w:t>
      </w:r>
      <w:r>
        <w:t>]</w:t>
      </w:r>
    </w:p>
    <w:p>
      <w:pPr>
        <w:pStyle w:val="kar_paragraph"/>
      </w:pPr>
      <w:r>
        <w:t xml:space="preserve">(d)</w:t>
      </w:r>
      <w:r>
        <w:t xml:space="preserve"> </w:t>
      </w:r>
      <w:r>
        <w:t>[</w:t>
      </w:r>
      <w:r>
        <w:rPr>
          <w:b/>
          <w:i/>
          <w:strike w:val="true"/>
          <w:u w:val="single"/>
        </w:rPr>
        <w:t xml:space="preserve">An AAHP manager shall be </w:t>
      </w:r>
      <w:r>
        <w:t>]</w:t>
      </w:r>
      <w:r>
        <w:rPr>
          <w:u w:val="single"/>
        </w:rPr>
        <w:t xml:space="preserve">Limited to the management of no more than five (5) registered AAHP facilities. Multiple mobile units registered under a single facility registration shall count as one (1) registered facility</w:t>
      </w:r>
      <w:r>
        <w:rPr>
          <w:b/>
          <w:i/>
          <w:u w:val="single"/>
        </w:rPr>
        <w:t xml:space="preserve">; and</w:t>
      </w:r>
      <w:r>
        <w:t>[</w:t>
      </w:r>
      <w:r>
        <w:rPr>
          <w:b/>
          <w:i/>
          <w:strike w:val="true"/>
          <w:u w:val="single"/>
        </w:rPr>
        <w:t xml:space="preserve">.</w:t>
      </w:r>
      <w:r>
        <w:t>]</w:t>
      </w:r>
    </w:p>
    <w:p>
      <w:pPr>
        <w:pStyle w:val="kar_paragraph"/>
      </w:pPr>
      <w:r>
        <w:rPr>
          <w:u w:val="single"/>
        </w:rP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incorporated by reference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w:t>
      </w:r>
      <w:r>
        <w:rPr>
          <w:u w:val="single"/>
        </w:rPr>
        <w:t xml:space="preserve">licensee</w:t>
      </w:r>
      <w:r>
        <w:t>[</w:t>
      </w:r>
      <w:r>
        <w:rPr>
          <w:strike w:val="true"/>
        </w:rPr>
        <w:t xml:space="preserve">permittee</w:t>
      </w:r>
      <w:r>
        <w:t>]</w:t>
      </w:r>
      <w:r>
        <w:t xml:space="preserv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(1)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w:t>
      </w:r>
      <w:r>
        <w:rPr>
          <w:u w:val="single"/>
        </w:rPr>
        <w:t xml:space="preserve">licensee</w:t>
      </w:r>
      <w:r>
        <w:t>[</w:t>
      </w:r>
      <w:r>
        <w:rPr>
          <w:strike w:val="true"/>
        </w:rPr>
        <w:t xml:space="preserve">permittee</w:t>
      </w:r>
      <w:r>
        <w:t>]</w:t>
      </w:r>
      <w:r>
        <w:t xml:space="preserv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 and</w:t>
      </w:r>
    </w:p>
    <w:p>
      <w:pPr>
        <w:pStyle w:val="kar_subsection"/>
      </w:pPr>
      <w:r>
        <w:t xml:space="preserve">(5)</w:t>
      </w:r>
      <w:r>
        <w:t xml:space="preserve"> </w:t>
      </w:r>
      <w:r>
        <w:t xml:space="preserve">If an animal bite occurs,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w:t>
      </w:r>
      <w:r>
        <w:rPr>
          <w:b/>
          <w:i/>
          <w:u w:val="single"/>
        </w:rPr>
        <w:t xml:space="preserve">11/2025</w:t>
      </w:r>
      <w:r>
        <w:t>[</w:t>
      </w:r>
      <w:r>
        <w:rPr>
          <w:b/>
          <w:i/>
          <w:strike w:val="true"/>
          <w:u w:val="single"/>
        </w:rPr>
        <w:t xml:space="preserve">8/2025</w:t>
      </w:r>
      <w:r>
        <w:t>]</w:t>
      </w:r>
      <w:r>
        <w:t>[</w:t>
      </w:r>
      <w:r>
        <w:rPr>
          <w:strike w:val="true"/>
        </w:rPr>
        <w:t xml:space="preserve">3/2025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KBVE Executive Director, 4047 Iron Works Parkway, Suite 104, Lexington, Kentucky 40511, phone 502-564-5433, fax 502-573-1458,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4889a365ed4169" /><Relationship Type="http://schemas.openxmlformats.org/officeDocument/2006/relationships/settings" Target="/word/settings.xml" Id="R128a3043db0c4e93" /></Relationships>
</file>