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1cd60469a24ee6"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OPHTHALMIC DISPENSERS</w:t>
      </w:r>
    </w:p>
    <w:p>
      <w:pPr>
        <w:pStyle w:val="kar_markup_header"/>
        <w:ind w:firstLine="0"/>
      </w:pPr>
      <w:r>
        <w:t>(Amendment)</w:t>
      </w:r>
    </w:p>
    <w:p>
      <w:pPr>
        <w:pStyle w:val="kar_citation"/>
      </w:pPr>
      <w:r>
        <w:t>201 KAR 13:010.</w:t>
      </w:r>
      <w:r>
        <w:t xml:space="preserve"> </w:t>
      </w:r>
      <w:r>
        <w:t xml:space="preserve">Board; powers, duties, meetings.</w:t>
      </w:r>
    </w:p>
    <w:p>
      <w:pPr>
        <w:pStyle w:val="kar_markup_metadata"/>
      </w:pPr>
      <w:r>
        <w:t xml:space="preserve">RELATES TO: </w:t>
      </w:r>
      <w:r>
        <w:t xml:space="preserve">KRS 326.020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 grants the board the authority to promulgate administrative regulations to carry out the provisions of KRS Chapter 326. This administrative regulation specifies the powers and duties of the board and its officers, and meeting date requirements.</w:t>
      </w:r>
    </w:p>
    <w:p>
      <w:pPr>
        <w:pStyle w:val="kar_section"/>
      </w:pPr>
      <w:r>
        <w:t xml:space="preserve">Section 1.</w:t>
      </w:r>
      <w:r>
        <w:t xml:space="preserve"> </w:t>
      </w:r>
      <w:r>
        <w:t xml:space="preserve">Officers; Duties; Meetings.</w:t>
      </w:r>
    </w:p>
    <w:p>
      <w:pPr>
        <w:pStyle w:val="kar_subsection"/>
      </w:pPr>
      <w:r>
        <w:t xml:space="preserve">(1)</w:t>
      </w:r>
      <w:r>
        <w:t xml:space="preserve"> </w:t>
      </w:r>
      <w:r>
        <w:t xml:space="preserve">Three (3) members of the board shall constitute a quorum for the transaction of business.</w:t>
      </w:r>
    </w:p>
    <w:p>
      <w:pPr>
        <w:pStyle w:val="kar_subsection"/>
      </w:pPr>
      <w:r>
        <w:t xml:space="preserve">(2)</w:t>
      </w:r>
      <w:r>
        <w:t xml:space="preserve"> </w:t>
      </w:r>
    </w:p>
    <w:p>
      <w:pPr>
        <w:pStyle w:val="kar_paragraph"/>
      </w:pPr>
      <w:r>
        <w:t xml:space="preserve">(a)</w:t>
      </w:r>
      <w:r>
        <w:t xml:space="preserve"> </w:t>
      </w:r>
      <w:r>
        <w:t xml:space="preserve">The board shall meet at least three (3) times each year </w:t>
      </w:r>
      <w:r>
        <w:rPr>
          <w:u w:val="single"/>
        </w:rPr>
        <w:t xml:space="preserve">on an annual schedule approved by the board during the last quarter of each calendar year.</w:t>
      </w:r>
      <w:r>
        <w:t>[</w:t>
      </w:r>
      <w:r>
        <w:rPr>
          <w:strike w:val="true"/>
        </w:rPr>
        <w:t xml:space="preserve">as follows:</w:t>
      </w:r>
      <w:r>
        <w:t>]</w:t>
      </w:r>
    </w:p>
    <w:p>
      <w:pPr>
        <w:pStyle w:val="kar_subparagraph"/>
      </w:pPr>
      <w:r>
        <w:t>[</w:t>
      </w:r>
      <w:r>
        <w:rPr>
          <w:strike w:val="true"/>
        </w:rPr>
        <w:t xml:space="preserve">1.</w:t>
      </w:r>
      <w:r>
        <w:t>]</w:t>
      </w:r>
      <w:r>
        <w:t xml:space="preserve"> </w:t>
      </w:r>
      <w:r>
        <w:t>[</w:t>
      </w:r>
      <w:r>
        <w:rPr>
          <w:strike w:val="true"/>
        </w:rPr>
        <w:t xml:space="preserve">The third Wednesday in March;</w:t>
      </w:r>
      <w:r>
        <w:t>]</w:t>
      </w:r>
    </w:p>
    <w:p>
      <w:pPr>
        <w:pStyle w:val="kar_subparagraph"/>
      </w:pPr>
      <w:r>
        <w:t>[</w:t>
      </w:r>
      <w:r>
        <w:rPr>
          <w:strike w:val="true"/>
        </w:rPr>
        <w:t xml:space="preserve">2.</w:t>
      </w:r>
      <w:r>
        <w:t>]</w:t>
      </w:r>
      <w:r>
        <w:t xml:space="preserve"> </w:t>
      </w:r>
      <w:r>
        <w:t>[</w:t>
      </w:r>
      <w:r>
        <w:rPr>
          <w:strike w:val="true"/>
        </w:rPr>
        <w:t xml:space="preserve">The third Wednesday in July; and</w:t>
      </w:r>
      <w:r>
        <w:t>]</w:t>
      </w:r>
    </w:p>
    <w:p>
      <w:pPr>
        <w:pStyle w:val="kar_subparagraph"/>
      </w:pPr>
      <w:r>
        <w:t>[</w:t>
      </w:r>
      <w:r>
        <w:rPr>
          <w:strike w:val="true"/>
        </w:rPr>
        <w:t xml:space="preserve">3.</w:t>
      </w:r>
      <w:r>
        <w:t>]</w:t>
      </w:r>
      <w:r>
        <w:t xml:space="preserve"> </w:t>
      </w:r>
      <w:r>
        <w:t>[</w:t>
      </w:r>
      <w:r>
        <w:rPr>
          <w:strike w:val="true"/>
        </w:rPr>
        <w:t xml:space="preserve">The third Wednesday in November.</w:t>
      </w:r>
      <w:r>
        <w:t>]</w:t>
      </w:r>
    </w:p>
    <w:p>
      <w:pPr>
        <w:pStyle w:val="kar_paragraph"/>
      </w:pPr>
      <w:r>
        <w:t xml:space="preserve">(b)</w:t>
      </w:r>
      <w:r>
        <w:t xml:space="preserve"> </w:t>
      </w:r>
      <w:r>
        <w:t xml:space="preserve">Other meetings of the board </w:t>
      </w:r>
      <w:r>
        <w:rPr>
          <w:u w:val="single"/>
        </w:rPr>
        <w:t xml:space="preserve">may</w:t>
      </w:r>
      <w:r>
        <w:t>[</w:t>
      </w:r>
      <w:r>
        <w:rPr>
          <w:strike w:val="true"/>
        </w:rPr>
        <w:t xml:space="preserve">shall</w:t>
      </w:r>
      <w:r>
        <w:t>]</w:t>
      </w:r>
      <w:r>
        <w:t xml:space="preserve"> be called by the </w:t>
      </w:r>
      <w:r>
        <w:rPr>
          <w:u w:val="single"/>
        </w:rPr>
        <w:t xml:space="preserve">chair</w:t>
      </w:r>
      <w:r>
        <w:t>[</w:t>
      </w:r>
      <w:r>
        <w:rPr>
          <w:strike w:val="true"/>
        </w:rPr>
        <w:t xml:space="preserve">chairman on his own motion</w:t>
      </w:r>
      <w:r>
        <w:t>]</w:t>
      </w:r>
      <w:r>
        <w:t xml:space="preserve"> or by written request of three (3) board members.</w:t>
      </w:r>
    </w:p>
    <w:p>
      <w:pPr>
        <w:pStyle w:val="kar_paragraph"/>
      </w:pPr>
      <w:r>
        <w:t xml:space="preserve">(c)</w:t>
      </w:r>
      <w:r>
        <w:t xml:space="preserve"> </w:t>
      </w:r>
      <w:r>
        <w:t>[</w:t>
      </w:r>
      <w:r>
        <w:rPr>
          <w:strike w:val="true"/>
        </w:rPr>
        <w:t xml:space="preserve">The secretary-treasurer shall give timely </w:t>
      </w:r>
      <w:r>
        <w:t>]</w:t>
      </w:r>
      <w:r>
        <w:rPr>
          <w:u w:val="single"/>
        </w:rPr>
        <w:t xml:space="preserve">Timely </w:t>
      </w:r>
      <w:r>
        <w:t xml:space="preserve">notice of the time and place of the meetings </w:t>
      </w:r>
      <w:r>
        <w:rPr>
          <w:u w:val="single"/>
        </w:rPr>
        <w:t xml:space="preserve">shall be given </w:t>
      </w:r>
      <w:r>
        <w:t xml:space="preserve">to each member.</w:t>
      </w:r>
    </w:p>
    <w:p>
      <w:pPr>
        <w:pStyle w:val="kar_subsection"/>
      </w:pPr>
      <w:r>
        <w:t xml:space="preserve">(3)</w:t>
      </w:r>
      <w:r>
        <w:t xml:space="preserve"> </w:t>
      </w:r>
      <w:r>
        <w:t xml:space="preserve">The officers of the board shall discharge the duties that usually pertain to their respective offices.</w:t>
      </w:r>
    </w:p>
    <w:p>
      <w:pPr>
        <w:pStyle w:val="kar_subsection"/>
      </w:pPr>
      <w:r>
        <w:t xml:space="preserve">(4)</w:t>
      </w:r>
      <w:r>
        <w:t xml:space="preserve"> </w:t>
      </w:r>
      <w:r>
        <w:t>[</w:t>
      </w:r>
      <w:r>
        <w:rPr>
          <w:strike w:val="true"/>
        </w:rPr>
        <w:t xml:space="preserve">The secretary-treasurer shall:</w:t>
      </w:r>
      <w:r>
        <w:t>]</w:t>
      </w:r>
    </w:p>
    <w:p>
      <w:pPr>
        <w:pStyle w:val="kar_paragraph"/>
      </w:pPr>
      <w:r>
        <w:t>[</w:t>
      </w:r>
      <w:r>
        <w:rPr>
          <w:strike w:val="true"/>
        </w:rPr>
        <w:t xml:space="preserve">(a)</w:t>
      </w:r>
      <w:r>
        <w:t>]</w:t>
      </w:r>
      <w:r>
        <w:t xml:space="preserve"> </w:t>
      </w:r>
      <w:r>
        <w:t>[</w:t>
      </w:r>
      <w:r>
        <w:rPr>
          <w:strike w:val="true"/>
        </w:rPr>
        <w:t xml:space="preserve">Keep a permanent record of the names and addresses of all persons holding a license; and</w:t>
      </w:r>
      <w:r>
        <w:t>]</w:t>
      </w:r>
    </w:p>
    <w:p>
      <w:pPr>
        <w:pStyle w:val="kar_paragraph"/>
      </w:pPr>
      <w:r>
        <w:t>[</w:t>
      </w:r>
      <w:r>
        <w:rPr>
          <w:strike w:val="true"/>
        </w:rPr>
        <w:t xml:space="preserve">(b)</w:t>
      </w:r>
      <w:r>
        <w:t>]</w:t>
      </w:r>
      <w:r>
        <w:t xml:space="preserve"> </w:t>
      </w:r>
      <w:r>
        <w:t>[</w:t>
      </w:r>
      <w:r>
        <w:rPr>
          <w:strike w:val="true"/>
        </w:rPr>
        <w:t xml:space="preserve">Annually transmit the names and addresses of the current chairman and the secretary-treasurer and the board's business address to the Secretary of State, Commonwealth of Kentucky.</w:t>
      </w:r>
      <w:r>
        <w:t>]</w:t>
      </w:r>
    </w:p>
    <w:p>
      <w:pPr>
        <w:pStyle w:val="kar_subsection"/>
      </w:pPr>
      <w:r>
        <w:t>[</w:t>
      </w:r>
      <w:r>
        <w:rPr>
          <w:strike w:val="true"/>
        </w:rPr>
        <w:t xml:space="preserve">(5)</w:t>
      </w:r>
      <w:r>
        <w:t>]</w:t>
      </w:r>
      <w:r>
        <w:t xml:space="preserve"> </w:t>
      </w:r>
      <w:r>
        <w:t>[</w:t>
      </w:r>
      <w:r>
        <w:rPr>
          <w:strike w:val="true"/>
        </w:rPr>
        <w:t xml:space="preserve">All licenses shall be signed by both the chairman and the secretary-treasurer.</w:t>
      </w:r>
      <w:r>
        <w:t>]</w:t>
      </w:r>
    </w:p>
    <w:p>
      <w:pPr>
        <w:pStyle w:val="kar_subsection"/>
      </w:pPr>
      <w:r>
        <w:t>[</w:t>
      </w:r>
      <w:r>
        <w:rPr>
          <w:strike w:val="true"/>
        </w:rPr>
        <w:t xml:space="preserve">(6)</w:t>
      </w:r>
      <w:r>
        <w:t>]</w:t>
      </w:r>
      <w:r>
        <w:t xml:space="preserve"> </w:t>
      </w:r>
      <w:r>
        <w:t xml:space="preserve">All fees and monies collected shall be deposited in the State Treasury to the credit of an agency fund for the use of the board.</w:t>
      </w:r>
    </w:p>
    <w:p>
      <w:pPr>
        <w:pStyle w:val="kar_signature"/>
      </w:pPr>
      <w:r>
        <w:t xml:space="preserve">CURT DUFF, Board Chair</w:t>
      </w:r>
    </w:p>
    <w:p>
      <w:pPr>
        <w:pStyle w:val="kar_normal"/>
      </w:pPr>
      <w:r>
        <w:t xml:space="preserve"/>
      </w:r>
    </w:p>
    <w:p>
      <w:pPr>
        <w:pStyle w:val="kar_approved_by"/>
      </w:pPr>
      <w:r>
        <w:t xml:space="preserve">APPROVED BY AGENCY: February 11, 2026</w:t>
      </w:r>
    </w:p>
    <w:p>
      <w:pPr>
        <w:pStyle w:val="kar_filed"/>
      </w:pPr>
      <w:r>
        <w:t xml:space="preserve">FILED WITH LRC: February 12, 2026 at 1:00 p.m.</w:t>
      </w:r>
    </w:p>
    <w:p>
      <w:pPr>
        <w:pStyle w:val="kar_normal"/>
      </w:pPr>
      <w:r>
        <w:t xml:space="preserve"/>
      </w:r>
    </w:p>
    <w:p>
      <w:pPr>
        <w:pStyle w:val="kar_comment_period"/>
      </w:pPr>
      <w:r>
        <w:t xml:space="preserve">PUBLIC HEARING AND PUBLIC COMMENT PERIOD: A public hearing on this administrative regulation shall be held on Tuesday, April 21, 2026, at 2:00 PM, Eastern Time,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2026.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 </w:t>
      </w:r>
    </w:p>
    <w:p>
      <w:pPr>
        <w:pStyle w:val="kar_normal"/>
        <w:ind w:left="0"/>
      </w:pPr>
      <w:r>
        <w:t xml:space="preserve">Subject Headings:</w:t>
      </w:r>
      <w:r>
        <w:t xml:space="preserve"> Ophthalmic Dispensing, Licensing,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specifies the procedures under which the board operates and board meeting requirements.</w:t>
      </w:r>
    </w:p>
    <w:p>
      <w:pPr>
        <w:pStyle w:val="kar_normal"/>
        <w:ind w:left="576"/>
      </w:pPr>
      <w:r>
        <w:t xml:space="preserve">(b) The necessity of this administrative regulation:</w:t>
      </w:r>
    </w:p>
    <w:p>
      <w:pPr>
        <w:pStyle w:val="kar_normal"/>
        <w:ind w:left="720"/>
      </w:pPr>
      <w:r>
        <w:t xml:space="preserve">This administrative regulation is necessary to ensure orderly transaction of business by the board.</w:t>
      </w:r>
    </w:p>
    <w:p>
      <w:pPr>
        <w:pStyle w:val="kar_normal"/>
        <w:ind w:left="576"/>
      </w:pPr>
      <w:r>
        <w:t xml:space="preserve">(c) How this administrative regulation conforms to the content of the authorizing statutes:</w:t>
      </w:r>
    </w:p>
    <w:p>
      <w:pPr>
        <w:pStyle w:val="kar_normal"/>
        <w:ind w:left="720"/>
      </w:pPr>
      <w:r>
        <w:t xml:space="preserve">KRS 326.020(3) which gives the board the authority to promulgate regulations that will enable it to operate effectively.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identifies administrative details that the board will follow in its operation.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the regulation to be consistent with current administrative processes of the board, including the removal of prescriptive language for scheduling of board meetings and transmitting information that is not statutorily required.</w:t>
      </w:r>
    </w:p>
    <w:p>
      <w:pPr>
        <w:pStyle w:val="kar_normal"/>
        <w:ind w:left="576"/>
      </w:pPr>
      <w:r>
        <w:t xml:space="preserve">(b) The necessity of the amendment to this administrative regulation:</w:t>
      </w:r>
    </w:p>
    <w:p>
      <w:pPr>
        <w:pStyle w:val="kar_normal"/>
        <w:ind w:left="720"/>
      </w:pPr>
      <w:r>
        <w:t xml:space="preserve">The amendment is necessary to update the language to conform with current administrative processes and to eliminate unnecessary duties.</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is in conformity with the authorizing statute that gives the board the authority to promulgate administrative regulations to carry out the purposes of the chapter.</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administrative on the statutes by allowing the board to establish a schedule that will work for its board members without prescribing what week and day the meeting must occur without amending the regulation; and, by eliminating transmittal of information that is unnecessary and burdensome.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527 licensed ophthalmic dispensers and 174 licensed apprentice ophthalmic dispensers who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actions required for the regulated entities.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to the entities.</w:t>
      </w:r>
    </w:p>
    <w:p>
      <w:pPr>
        <w:pStyle w:val="kar_normal"/>
        <w:ind w:left="576"/>
      </w:pPr>
      <w:r>
        <w:t xml:space="preserve">(c) As a result of compliance, what benefits will accrue to the entities identified in question (4):</w:t>
      </w:r>
    </w:p>
    <w:p>
      <w:pPr>
        <w:pStyle w:val="kar_normal"/>
        <w:ind w:left="720"/>
      </w:pPr>
      <w:r>
        <w:t xml:space="preserve">The board will have a regulation with procedures consistent with current practices within which to operate.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specifically relates to operating procedures of the board.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to this administrative regulation does not increase fees directly or indirectly.</w:t>
      </w:r>
    </w:p>
    <w:p>
      <w:pPr>
        <w:pStyle w:val="kar_normal"/>
        <w:ind w:left="288"/>
      </w:pPr>
      <w:r>
        <w:t xml:space="preserve">(10)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326.020.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326.020(3) gives the board the authority to promulgate regulations regarding the requirements for licensure. KRS 326.080(1) specifically authorizes the board to promulgate administrative regulations to carry out the purposes and provisions of the chapter.</w:t>
      </w:r>
    </w:p>
    <w:p>
      <w:pPr>
        <w:pStyle w:val="kar_normal"/>
        <w:ind w:left="288"/>
      </w:pPr>
      <w:r>
        <w:t xml:space="preserve">(3)(a) Identify the promulgating agency and any other affected state units, parts, or divisions:</w:t>
      </w:r>
    </w:p>
    <w:p>
      <w:pPr>
        <w:pStyle w:val="kar_normal"/>
        <w:ind w:left="432"/>
      </w:pPr>
      <w:r>
        <w:t xml:space="preserve">The Kentucky Board of Ophthalmic Dispensers is the promulgating agency and the only affected state unit, part, or division.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 anticipated.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other regulated entities not otherwise listed. (b) Estimate the following for each affected local entity identified in (4)(a):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generate revenue for state or local government</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e68e68a50347f5" /><Relationship Type="http://schemas.openxmlformats.org/officeDocument/2006/relationships/settings" Target="/word/settings.xml" Id="R083f16c678fb435a" /></Relationships>
</file>