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835aa44d894d0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(Amended at ARRS Committee)</w:t>
      </w:r>
    </w:p>
    <w:p>
      <w:pPr>
        <w:pStyle w:val="kar_citation"/>
      </w:pPr>
      <w:r>
        <w:t>907 KAR 23:010.</w:t>
      </w:r>
      <w:r>
        <w:t xml:space="preserve"> </w:t>
      </w:r>
      <w:r>
        <w:t xml:space="preserve">Outpatient Pharmacy Program.</w:t>
      </w:r>
    </w:p>
    <w:p>
      <w:pPr>
        <w:pStyle w:val="kar_markup_metadata"/>
      </w:pPr>
      <w:r>
        <w:t xml:space="preserve">RELATES TO: </w:t>
      </w:r>
      <w:r>
        <w:t xml:space="preserve">KRS Chapter 13B, 205.510, </w:t>
      </w:r>
      <w:r>
        <w:t>[</w:t>
      </w:r>
      <w:r>
        <w:rPr>
          <w:strike w:val="true"/>
        </w:rPr>
        <w:t xml:space="preserve">205.560, 205.561, </w:t>
      </w:r>
      <w:r>
        <w:t>]</w:t>
      </w:r>
      <w:r>
        <w:t xml:space="preserve">205.5631-205.5639, 205.564, 205.6316, 205.8451, 205.8453, 217.015, 217.822, </w:t>
      </w:r>
      <w:r>
        <w:rPr>
          <w:u w:val="single"/>
        </w:rPr>
        <w:t xml:space="preserve">369.101 to 369.120, </w:t>
      </w:r>
      <w:r>
        <w:t xml:space="preserve">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w:t>
      </w:r>
      <w:r>
        <w:rPr>
          <w:b/>
          <w:i/>
          <w:u w:val="single"/>
        </w:rPr>
        <w:t xml:space="preserve">through</w:t>
      </w:r>
      <w:r>
        <w:t>[</w:t>
      </w:r>
      <w:r>
        <w:rPr>
          <w:b/>
          <w:i/>
          <w:strike w:val="true"/>
        </w:rPr>
        <w:t xml:space="preserve">via</w:t>
      </w:r>
      <w:r>
        <w:t>]</w:t>
      </w:r>
      <w:r>
        <w:t xml:space="preserve"> the department's pharmacy program and not </w:t>
      </w:r>
      <w:r>
        <w:rPr>
          <w:b/>
          <w:i/>
          <w:u w:val="single"/>
        </w:rPr>
        <w:t xml:space="preserve">through</w:t>
      </w:r>
      <w:r>
        <w:t>[</w:t>
      </w:r>
      <w:r>
        <w:rPr>
          <w:b/>
          <w:i/>
          <w:strike w:val="true"/>
        </w:rPr>
        <w:t xml:space="preserve">via</w:t>
      </w:r>
      <w:r>
        <w:t>]</w:t>
      </w:r>
      <w:r>
        <w:t xml:space="preserve"> the department's </w:t>
      </w:r>
      <w:r>
        <w:rPr>
          <w:u w:val="single"/>
        </w:rPr>
        <w:t xml:space="preserve">medical supplies, equipment, and appliances</w:t>
      </w:r>
      <w:r>
        <w:t>[</w:t>
      </w:r>
      <w:r>
        <w:rPr>
          <w:strike w:val="true"/>
        </w:rPr>
        <w:t xml:space="preserve">durable medical equipment</w:t>
      </w:r>
      <w:r>
        <w:t>]</w:t>
      </w:r>
      <w:r>
        <w:t xml:space="preserve">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w:t>
      </w:r>
      <w:r>
        <w:rPr>
          <w:strike w:val="true"/>
        </w:rPr>
        <w:t xml:space="preserve">A drug if used for anorexia, weight loss, or weight gain;</w:t>
      </w:r>
      <w:r>
        <w:t>]</w:t>
      </w:r>
    </w:p>
    <w:p>
      <w:pPr>
        <w:pStyle w:val="kar_paragraph"/>
      </w:pPr>
      <w:r>
        <w:t>[</w:t>
      </w:r>
      <w:r>
        <w:rPr>
          <w:strike w:val="true"/>
        </w:rPr>
        <w:t xml:space="preserve">(b)</w:t>
      </w:r>
      <w:r>
        <w:t>]</w:t>
      </w:r>
      <w:r>
        <w:t xml:space="preserve"> </w:t>
      </w:r>
      <w:r>
        <w:t xml:space="preserve">A drug if used to promote fertility;</w:t>
      </w:r>
    </w:p>
    <w:p>
      <w:pPr>
        <w:pStyle w:val="kar_paragraph"/>
      </w:pPr>
      <w:r>
        <w:rPr>
          <w:u w:val="single"/>
        </w:rPr>
        <w:t xml:space="preserve">(b)</w:t>
      </w:r>
      <w:r>
        <w:t>[</w:t>
      </w:r>
      <w:r>
        <w:rPr>
          <w:strike w:val="true"/>
        </w:rPr>
        <w:t xml:space="preserve">(c)</w:t>
      </w:r>
      <w:r>
        <w:t>]</w:t>
      </w:r>
      <w:r>
        <w:t xml:space="preserve"> </w:t>
      </w:r>
      <w:r>
        <w:t xml:space="preserve">A drug if used for cosmetic purposes or hair growth;</w:t>
      </w:r>
    </w:p>
    <w:p>
      <w:pPr>
        <w:pStyle w:val="kar_paragraph"/>
      </w:pPr>
      <w:r>
        <w:rPr>
          <w:u w:val="single"/>
        </w:rPr>
        <w:t xml:space="preserve">(c)</w:t>
      </w:r>
      <w:r>
        <w:t>[</w:t>
      </w:r>
      <w:r>
        <w:rPr>
          <w:strike w:val="true"/>
        </w:rPr>
        <w:t xml:space="preserve">(d)</w:t>
      </w:r>
      <w:r>
        <w:t>]</w:t>
      </w:r>
      <w:r>
        <w:t xml:space="preserve"> </w:t>
      </w:r>
      <w:r>
        <w:t xml:space="preserve">A drug if used for the symptomatic relief of cough and colds;</w:t>
      </w:r>
    </w:p>
    <w:p>
      <w:pPr>
        <w:pStyle w:val="kar_paragraph"/>
      </w:pPr>
      <w:r>
        <w:rPr>
          <w:u w:val="single"/>
        </w:rPr>
        <w:t xml:space="preserve">(d)</w:t>
      </w:r>
      <w:r>
        <w:t>[</w:t>
      </w:r>
      <w:r>
        <w:rPr>
          <w:strike w:val="true"/>
        </w:rPr>
        <w:t xml:space="preserve">(e)</w:t>
      </w:r>
      <w:r>
        <w:t>]</w:t>
      </w:r>
      <w:r>
        <w:t xml:space="preserve"> </w:t>
      </w:r>
      <w:r>
        <w:t xml:space="preserve">A vitamin or mineral product other than prenatal vitamins and fluoride preparations;</w:t>
      </w:r>
    </w:p>
    <w:p>
      <w:pPr>
        <w:pStyle w:val="kar_paragraph"/>
      </w:pPr>
      <w:r>
        <w:rPr>
          <w:u w:val="single"/>
        </w:rPr>
        <w:t xml:space="preserve">(e)</w:t>
      </w:r>
      <w:r>
        <w:t>[</w:t>
      </w:r>
      <w:r>
        <w:rPr>
          <w:strike w:val="true"/>
        </w:rPr>
        <w:t xml:space="preserve">(f)</w:t>
      </w:r>
      <w:r>
        <w:t>]</w:t>
      </w:r>
      <w:r>
        <w:t xml:space="preserve"> </w:t>
      </w:r>
      <w:r>
        <w:t xml:space="preserve">An OTC drug provided to a Medicaid nursing facility service recipient and included in the nursing facility's standard price or daily per diem rate;</w:t>
      </w:r>
    </w:p>
    <w:p>
      <w:pPr>
        <w:pStyle w:val="kar_paragraph"/>
      </w:pPr>
      <w:r>
        <w:rPr>
          <w:u w:val="single"/>
        </w:rPr>
        <w:t xml:space="preserve">(f)</w:t>
      </w:r>
      <w:r>
        <w:t>[</w:t>
      </w:r>
      <w:r>
        <w:rPr>
          <w:strike w:val="true"/>
        </w:rPr>
        <w:t xml:space="preserve">(g)</w:t>
      </w:r>
      <w:r>
        <w:t>]</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rPr>
          <w:u w:val="single"/>
        </w:rPr>
        <w:t xml:space="preserve">(g)</w:t>
      </w:r>
      <w:r>
        <w:t>[</w:t>
      </w:r>
      <w:r>
        <w:rPr>
          <w:strike w:val="true"/>
        </w:rPr>
        <w:t xml:space="preserve">(h)</w:t>
      </w:r>
      <w:r>
        <w:t>]</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w:t>
      </w:r>
      <w:r>
        <w:rPr>
          <w:b/>
          <w:i/>
          <w:u w:val="single"/>
        </w:rPr>
        <w:t xml:space="preserve">by</w:t>
      </w:r>
      <w:r>
        <w:t>[</w:t>
      </w:r>
      <w:r>
        <w:rPr>
          <w:b/>
          <w:i/>
          <w:strike w:val="true"/>
        </w:rPr>
        <w:t xml:space="preserve">via</w:t>
      </w:r>
      <w:r>
        <w:t>]</w:t>
      </w:r>
      <w:r>
        <w:t xml:space="preserve">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w:t>
      </w:r>
      <w:r>
        <w:rPr>
          <w:u w:val="single"/>
        </w:rPr>
        <w:t xml:space="preserve">Office of Administrative Hearings within the Department of Law</w:t>
      </w:r>
      <w:r>
        <w:t>[</w:t>
      </w:r>
      <w:r>
        <w:rPr>
          <w:strike w:val="true"/>
        </w:rPr>
        <w:t xml:space="preserve">Division of Administrative Hearings of the Cabinet for Health and Family Services</w:t>
      </w:r>
      <w:r>
        <w:t>]</w:t>
      </w:r>
      <w:r>
        <w:t xml:space="preserve"> for processing in accordance with the provisions of KRS Chapter 13B.</w:t>
      </w:r>
    </w:p>
    <w:p>
      <w:pPr>
        <w:pStyle w:val="kar_section"/>
      </w:pPr>
      <w:r>
        <w:t xml:space="preserve">Section 15.</w:t>
      </w:r>
      <w:r>
        <w:t xml:space="preserve"> </w:t>
      </w:r>
      <w:r>
        <w:t xml:space="preserve">Drug Management Review Advisory Board </w:t>
      </w:r>
      <w:r>
        <w:rPr>
          <w:u w:val="single"/>
        </w:rPr>
        <w:t xml:space="preserve">(DMRAB) </w:t>
      </w:r>
      <w:r>
        <w:t xml:space="preserve">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w:t>
      </w:r>
      <w:r>
        <w:rPr>
          <w:u w:val="single"/>
        </w:rPr>
        <w:t xml:space="preserve">, located at: https://www.chfs.ky.gov/agencies/dms/dpo/ppb/Pages/p-tac.aspx</w:t>
      </w:r>
      <w:r>
        <w:t xml:space="preserve">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t>
      </w:r>
      <w:r>
        <w:rPr>
          <w:u w:val="single"/>
        </w:rPr>
        <w:t xml:space="preserve">website at https://www.chfs.ky.gov/agencies/dms/dpo/ppb/Pages/default.aspx</w:t>
      </w:r>
      <w:r>
        <w:t>[</w:t>
      </w:r>
      <w:r>
        <w:rPr>
          <w:strike w:val="true"/>
        </w:rPr>
        <w:t xml:space="preserve">Web site at http://www.chfs.ky.gov/dms/incorporated.htm</w:t>
      </w:r>
      <w:r>
        <w:t>]</w:t>
      </w:r>
      <w:r>
        <w:t xml:space="preserve">.</w:t>
      </w:r>
    </w:p>
    <w:p>
      <w:pPr>
        <w:pStyle w:val="kar_section"/>
      </w:pPr>
      <w:r>
        <w:rPr>
          <w:b/>
          <w:i/>
          <w:u w:val="single"/>
        </w:rPr>
        <w:t xml:space="preserve">Section 22.</w:t>
      </w:r>
      <w:r>
        <w:t xml:space="preserve"> </w:t>
      </w:r>
      <w:r>
        <w:rPr>
          <w:b/>
          <w:i/>
          <w:u w:val="single"/>
        </w:rPr>
        <w:t xml:space="preserve">This administrative regulation was found deficient by the Administrative Regulation Review Subcommittee on February 9, 2026.</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b64752ed194094" /><Relationship Type="http://schemas.openxmlformats.org/officeDocument/2006/relationships/settings" Target="/word/settings.xml" Id="Rba286081091f4f39" /></Relationships>
</file>