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7e8409f77846c5" /></Relationships>
</file>

<file path=word/document.xml><?xml version="1.0" encoding="utf-8"?>
<w:document xmlns:w="http://schemas.openxmlformats.org/wordprocessingml/2006/main">
  <w:body>
    <w:p>
      <w:pPr>
        <w:pStyle w:val="kar_citation"/>
      </w:pPr>
      <w:r>
        <w:t>201 KAR 2:090.</w:t>
      </w:r>
      <w:r>
        <w:t xml:space="preserve"> </w:t>
      </w:r>
      <w:r>
        <w:t xml:space="preserve">Reference material and prescription equipment.</w:t>
      </w:r>
    </w:p>
    <w:p>
      <w:pPr>
        <w:pStyle w:val="kar_markup_metadata"/>
      </w:pPr>
      <w:r>
        <w:t xml:space="preserve">RELATES TO: </w:t>
      </w:r>
      <w:r>
        <w:t xml:space="preserve">KRS Chapter 315</w:t>
      </w:r>
    </w:p>
    <w:p>
      <w:pPr>
        <w:pStyle w:val="kar_markup_metadata"/>
      </w:pPr>
      <w:r>
        <w:t xml:space="preserve">STATUTORY AUTHORITY: </w:t>
      </w:r>
      <w:r>
        <w:t xml:space="preserve">KRS 315.035(6), 315.191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315.035(6) authorizes the Board of Pharmacy to promulgate administrative regulations regarding reference material and equipment suitable for pharmaceutical practice. This administrative regulation establishes the reference material and equipment required for pharmaceutical practice.</w:t>
      </w:r>
    </w:p>
    <w:p>
      <w:pPr>
        <w:pStyle w:val="kar_section"/>
      </w:pPr>
      <w:r>
        <w:t xml:space="preserve">Section 1.</w:t>
      </w:r>
      <w:r>
        <w:t xml:space="preserve"> </w:t>
      </w:r>
      <w:r>
        <w:t xml:space="preserve">The pharmacy shall have appropriate reference material and equipment as dictated by experience to meet the needs of the particular pharmacy, and necessary to practice pharmacy in a safe manner.Appropriate reference material includes references such as those from the following categories:</w:t>
      </w:r>
    </w:p>
    <w:p>
      <w:pPr>
        <w:pStyle w:val="kar_subsection"/>
      </w:pPr>
      <w:r>
        <w:t xml:space="preserve">(1)</w:t>
      </w:r>
      <w:r>
        <w:t xml:space="preserve"> </w:t>
      </w:r>
      <w:r>
        <w:t xml:space="preserve">Category I – Pharmacology;</w:t>
      </w:r>
    </w:p>
    <w:p>
      <w:pPr>
        <w:pStyle w:val="kar_subsection"/>
      </w:pPr>
      <w:r>
        <w:t xml:space="preserve">(2)</w:t>
      </w:r>
      <w:r>
        <w:t xml:space="preserve"> </w:t>
      </w:r>
      <w:r>
        <w:t xml:space="preserve">Category II – Drug Interactions;</w:t>
      </w:r>
    </w:p>
    <w:p>
      <w:pPr>
        <w:pStyle w:val="kar_subsection"/>
      </w:pPr>
      <w:r>
        <w:t xml:space="preserve">(3)</w:t>
      </w:r>
      <w:r>
        <w:t xml:space="preserve"> </w:t>
      </w:r>
      <w:r>
        <w:t xml:space="preserve">Category III – Drug Product Composition;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Category IV – State and Federal Laws and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cdc68c2db404a" /><Relationship Type="http://schemas.openxmlformats.org/officeDocument/2006/relationships/settings" Target="/word/settings.xml" Id="R61321d59d40b4840" /></Relationships>
</file>