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bcf59df6824681"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Pharmacy</w:t>
      </w:r>
    </w:p>
    <w:p>
      <w:pPr>
        <w:pStyle w:val="kar_markup_header"/>
        <w:ind w:firstLine="0"/>
      </w:pPr>
      <w:r>
        <w:t>(Amendment)</w:t>
      </w:r>
    </w:p>
    <w:p>
      <w:pPr>
        <w:pStyle w:val="kar_citation"/>
      </w:pPr>
      <w:r>
        <w:t>201 KAR 2:090.</w:t>
      </w:r>
      <w:r>
        <w:t xml:space="preserve"> </w:t>
      </w:r>
      <w:r>
        <w:t xml:space="preserve">Reference material and prescription equipment.</w:t>
      </w:r>
    </w:p>
    <w:p>
      <w:pPr>
        <w:pStyle w:val="kar_markup_metadata"/>
      </w:pPr>
      <w:r>
        <w:t xml:space="preserve">RELATES TO: </w:t>
      </w:r>
      <w:r>
        <w:t xml:space="preserve">KRS Chapter 315</w:t>
      </w:r>
    </w:p>
    <w:p>
      <w:pPr>
        <w:pStyle w:val="kar_markup_metadata"/>
      </w:pPr>
      <w:r>
        <w:t xml:space="preserve">STATUTORY AUTHORITY: </w:t>
      </w:r>
      <w:r>
        <w:t xml:space="preserve">KRS 315.035(6), 315.191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315.035(6) authorizes the Board of Pharmacy to promulgate administrative regulations regarding reference material and equipment suitable for pharmaceutical practice. This administrative regulation establishes the reference material and equipment required for pharmaceutical practice.</w:t>
      </w:r>
    </w:p>
    <w:p>
      <w:pPr>
        <w:pStyle w:val="kar_section"/>
      </w:pPr>
      <w:r>
        <w:t xml:space="preserve">Section 1.</w:t>
      </w:r>
      <w:r>
        <w:t xml:space="preserve"> </w:t>
      </w:r>
    </w:p>
    <w:p>
      <w:pPr>
        <w:pStyle w:val="kar_subsection"/>
      </w:pPr>
      <w:r>
        <w:t>[</w:t>
      </w:r>
      <w:r>
        <w:rPr>
          <w:strike w:val="true"/>
        </w:rPr>
        <w:t xml:space="preserve">(1)</w:t>
      </w:r>
      <w:r>
        <w:t>]</w:t>
      </w:r>
      <w:r>
        <w:t xml:space="preserve"> </w:t>
      </w:r>
      <w:r>
        <w:t xml:space="preserve">The pharmacy shall have appropriate reference material and equipment as dictated by experience to meet the needs of the particular pharmacy, and necessary to practice pharmacy in a safe manner.</w:t>
      </w:r>
    </w:p>
    <w:p>
      <w:pPr>
        <w:pStyle w:val="kar_paragraph"/>
      </w:pPr>
      <w:r>
        <w:t>[</w:t>
      </w:r>
      <w:r>
        <w:rPr>
          <w:strike w:val="true"/>
        </w:rPr>
        <w:t xml:space="preserve">(a)</w:t>
      </w:r>
      <w:r>
        <w:t>]</w:t>
      </w:r>
      <w:r>
        <w:t xml:space="preserve"> </w:t>
      </w:r>
      <w:r>
        <w:t xml:space="preserve">Appropriate reference material includes references such as those from the following categories:</w:t>
      </w:r>
    </w:p>
    <w:p>
      <w:pPr>
        <w:pStyle w:val="kar_subsection"/>
      </w:pPr>
      <w:r>
        <w:rPr>
          <w:u w:val="single"/>
        </w:rPr>
        <w:t xml:space="preserve">(1)</w:t>
      </w:r>
      <w:r>
        <w:t>[</w:t>
      </w:r>
      <w:r>
        <w:rPr>
          <w:strike w:val="true"/>
        </w:rPr>
        <w:t xml:space="preserve">1.</w:t>
      </w:r>
      <w:r>
        <w:t>]</w:t>
      </w:r>
      <w:r>
        <w:t xml:space="preserve"> </w:t>
      </w:r>
      <w:r>
        <w:t xml:space="preserve">Category I – Pharmacology;</w:t>
      </w:r>
    </w:p>
    <w:p>
      <w:pPr>
        <w:pStyle w:val="kar_subsection"/>
      </w:pPr>
      <w:r>
        <w:rPr>
          <w:u w:val="single"/>
        </w:rPr>
        <w:t xml:space="preserve">(2)</w:t>
      </w:r>
      <w:r>
        <w:t>[</w:t>
      </w:r>
      <w:r>
        <w:rPr>
          <w:strike w:val="true"/>
        </w:rPr>
        <w:t xml:space="preserve">2.</w:t>
      </w:r>
      <w:r>
        <w:t>]</w:t>
      </w:r>
      <w:r>
        <w:t xml:space="preserve"> </w:t>
      </w:r>
      <w:r>
        <w:t xml:space="preserve">Category II – Drug Interactions;</w:t>
      </w:r>
    </w:p>
    <w:p>
      <w:pPr>
        <w:pStyle w:val="kar_subsection"/>
      </w:pPr>
      <w:r>
        <w:rPr>
          <w:u w:val="single"/>
        </w:rPr>
        <w:t xml:space="preserve">(3)</w:t>
      </w:r>
      <w:r>
        <w:t>[</w:t>
      </w:r>
      <w:r>
        <w:rPr>
          <w:strike w:val="true"/>
        </w:rPr>
        <w:t xml:space="preserve">3.</w:t>
      </w:r>
      <w:r>
        <w:t>]</w:t>
      </w:r>
      <w:r>
        <w:t xml:space="preserve"> </w:t>
      </w:r>
      <w:r>
        <w:t xml:space="preserve">Category III – Drug Product Composition; and</w:t>
      </w:r>
    </w:p>
    <w:p>
      <w:pPr>
        <w:pStyle w:val="kar_subsection"/>
      </w:pPr>
      <w:r>
        <w:rPr>
          <w:u w:val="single"/>
        </w:rPr>
        <w:t xml:space="preserve">(4)</w:t>
      </w:r>
      <w:r>
        <w:t>[</w:t>
      </w:r>
      <w:r>
        <w:rPr>
          <w:strike w:val="true"/>
        </w:rPr>
        <w:t xml:space="preserve">4.</w:t>
      </w:r>
      <w:r>
        <w:t>]</w:t>
      </w:r>
      <w:r>
        <w:t xml:space="preserve"> </w:t>
      </w:r>
      <w:r>
        <w:t xml:space="preserve">Category IV – State and Federal Laws and Regulations.</w:t>
      </w:r>
    </w:p>
    <w:p>
      <w:pPr>
        <w:pStyle w:val="kar_paragraph"/>
      </w:pPr>
      <w:r>
        <w:t>[</w:t>
      </w:r>
      <w:r>
        <w:rPr>
          <w:strike w:val="true"/>
        </w:rPr>
        <w:t xml:space="preserve">(b)</w:t>
      </w:r>
      <w:r>
        <w:t>]</w:t>
      </w:r>
      <w:r>
        <w:t xml:space="preserve"> </w:t>
      </w:r>
      <w:r>
        <w:t>[</w:t>
      </w:r>
      <w:r>
        <w:rPr>
          <w:strike w:val="true"/>
        </w:rPr>
        <w:t xml:space="preserve">Appropriate equipment as determined by the pharmacist in charge includes items such as the following:</w:t>
      </w:r>
      <w:r>
        <w:t>]</w:t>
      </w:r>
    </w:p>
    <w:p>
      <w:pPr>
        <w:pStyle w:val="kar_subparagraph"/>
      </w:pPr>
      <w:r>
        <w:t>[</w:t>
      </w:r>
      <w:r>
        <w:rPr>
          <w:strike w:val="true"/>
        </w:rPr>
        <w:t xml:space="preserve">1.</w:t>
      </w:r>
      <w:r>
        <w:t>]</w:t>
      </w:r>
      <w:r>
        <w:t xml:space="preserve"> </w:t>
      </w:r>
      <w:r>
        <w:t>[</w:t>
      </w:r>
      <w:r>
        <w:rPr>
          <w:strike w:val="true"/>
        </w:rPr>
        <w:t xml:space="preserve">A prescription balance with sensitivity not less than that of a Class 3 balance;</w:t>
      </w:r>
      <w:r>
        <w:t>]</w:t>
      </w:r>
    </w:p>
    <w:p>
      <w:pPr>
        <w:pStyle w:val="kar_subparagraph"/>
      </w:pPr>
      <w:r>
        <w:t>[</w:t>
      </w:r>
      <w:r>
        <w:rPr>
          <w:strike w:val="true"/>
        </w:rPr>
        <w:t xml:space="preserve">2.</w:t>
      </w:r>
      <w:r>
        <w:t>]</w:t>
      </w:r>
      <w:r>
        <w:t xml:space="preserve"> </w:t>
      </w:r>
      <w:r>
        <w:t>[</w:t>
      </w:r>
      <w:r>
        <w:rPr>
          <w:strike w:val="true"/>
        </w:rPr>
        <w:t xml:space="preserve">Weights-metric or apothecary-complete set;</w:t>
      </w:r>
      <w:r>
        <w:t>]</w:t>
      </w:r>
    </w:p>
    <w:p>
      <w:pPr>
        <w:pStyle w:val="kar_subparagraph"/>
      </w:pPr>
      <w:r>
        <w:t>[</w:t>
      </w:r>
      <w:r>
        <w:rPr>
          <w:strike w:val="true"/>
        </w:rPr>
        <w:t xml:space="preserve">3.</w:t>
      </w:r>
      <w:r>
        <w:t>]</w:t>
      </w:r>
      <w:r>
        <w:t xml:space="preserve"> </w:t>
      </w:r>
      <w:r>
        <w:t>[</w:t>
      </w:r>
      <w:r>
        <w:rPr>
          <w:strike w:val="true"/>
        </w:rPr>
        <w:t xml:space="preserve">Graduates capable of accurately measuring from 1 ml to 250 ml;</w:t>
      </w:r>
      <w:r>
        <w:t>]</w:t>
      </w:r>
    </w:p>
    <w:p>
      <w:pPr>
        <w:pStyle w:val="kar_subparagraph"/>
      </w:pPr>
      <w:r>
        <w:t>[</w:t>
      </w:r>
      <w:r>
        <w:rPr>
          <w:strike w:val="true"/>
        </w:rPr>
        <w:t xml:space="preserve">4.</w:t>
      </w:r>
      <w:r>
        <w:t>]</w:t>
      </w:r>
      <w:r>
        <w:t xml:space="preserve"> </w:t>
      </w:r>
      <w:r>
        <w:t>[</w:t>
      </w:r>
      <w:r>
        <w:rPr>
          <w:strike w:val="true"/>
        </w:rPr>
        <w:t xml:space="preserve">Mortars and pestles-glass, porcelain, or Wedgewood;</w:t>
      </w:r>
      <w:r>
        <w:t>]</w:t>
      </w:r>
    </w:p>
    <w:p>
      <w:pPr>
        <w:pStyle w:val="kar_subparagraph"/>
      </w:pPr>
      <w:r>
        <w:t>[</w:t>
      </w:r>
      <w:r>
        <w:rPr>
          <w:strike w:val="true"/>
        </w:rPr>
        <w:t xml:space="preserve">5.</w:t>
      </w:r>
      <w:r>
        <w:t>]</w:t>
      </w:r>
      <w:r>
        <w:t xml:space="preserve"> </w:t>
      </w:r>
      <w:r>
        <w:t>[</w:t>
      </w:r>
      <w:r>
        <w:rPr>
          <w:strike w:val="true"/>
        </w:rPr>
        <w:t xml:space="preserve">Spatulas-steel and nonmetallic;</w:t>
      </w:r>
      <w:r>
        <w:t>]</w:t>
      </w:r>
    </w:p>
    <w:p>
      <w:pPr>
        <w:pStyle w:val="kar_subparagraph"/>
      </w:pPr>
      <w:r>
        <w:t>[</w:t>
      </w:r>
      <w:r>
        <w:rPr>
          <w:strike w:val="true"/>
        </w:rPr>
        <w:t xml:space="preserve">6.</w:t>
      </w:r>
      <w:r>
        <w:t>]</w:t>
      </w:r>
      <w:r>
        <w:t xml:space="preserve"> </w:t>
      </w:r>
      <w:r>
        <w:t>[</w:t>
      </w:r>
      <w:r>
        <w:rPr>
          <w:strike w:val="true"/>
        </w:rPr>
        <w:t xml:space="preserve">Filtration funnel with filter papers;</w:t>
      </w:r>
      <w:r>
        <w:t>]</w:t>
      </w:r>
    </w:p>
    <w:p>
      <w:pPr>
        <w:pStyle w:val="kar_subparagraph"/>
      </w:pPr>
      <w:r>
        <w:t>[</w:t>
      </w:r>
      <w:r>
        <w:rPr>
          <w:strike w:val="true"/>
        </w:rPr>
        <w:t xml:space="preserve">7.</w:t>
      </w:r>
      <w:r>
        <w:t>]</w:t>
      </w:r>
      <w:r>
        <w:t xml:space="preserve"> </w:t>
      </w:r>
      <w:r>
        <w:t>[</w:t>
      </w:r>
      <w:r>
        <w:rPr>
          <w:strike w:val="true"/>
        </w:rPr>
        <w:t xml:space="preserve">A heating unit;</w:t>
      </w:r>
      <w:r>
        <w:t>]</w:t>
      </w:r>
    </w:p>
    <w:p>
      <w:pPr>
        <w:pStyle w:val="kar_subparagraph"/>
      </w:pPr>
      <w:r>
        <w:t>[</w:t>
      </w:r>
      <w:r>
        <w:rPr>
          <w:strike w:val="true"/>
        </w:rPr>
        <w:t xml:space="preserve">8.</w:t>
      </w:r>
      <w:r>
        <w:t>]</w:t>
      </w:r>
      <w:r>
        <w:t xml:space="preserve"> </w:t>
      </w:r>
      <w:r>
        <w:t>[</w:t>
      </w:r>
      <w:r>
        <w:rPr>
          <w:strike w:val="true"/>
        </w:rPr>
        <w:t xml:space="preserve">Suitable refrigeration unit for proper storage of drugs; and</w:t>
      </w:r>
      <w:r>
        <w:t>]</w:t>
      </w:r>
    </w:p>
    <w:p>
      <w:pPr>
        <w:pStyle w:val="kar_subparagraph"/>
      </w:pPr>
      <w:r>
        <w:t>[</w:t>
      </w:r>
      <w:r>
        <w:rPr>
          <w:strike w:val="true"/>
        </w:rPr>
        <w:t xml:space="preserve">9.</w:t>
      </w:r>
      <w:r>
        <w:t>]</w:t>
      </w:r>
      <w:r>
        <w:t xml:space="preserve"> </w:t>
      </w:r>
      <w:r>
        <w:t>[</w:t>
      </w:r>
      <w:r>
        <w:rPr>
          <w:strike w:val="true"/>
        </w:rPr>
        <w:t xml:space="preserve">Ointment slab or ointment papers.</w:t>
      </w:r>
      <w:r>
        <w:t>]</w:t>
      </w:r>
    </w:p>
    <w:p>
      <w:pPr>
        <w:pStyle w:val="kar_subsection"/>
      </w:pPr>
      <w:r>
        <w:t>[</w:t>
      </w:r>
      <w:r>
        <w:rPr>
          <w:strike w:val="true"/>
        </w:rPr>
        <w:t xml:space="preserve">(2)</w:t>
      </w:r>
      <w:r>
        <w:t>]</w:t>
      </w:r>
      <w:r>
        <w:t xml:space="preserve"> </w:t>
      </w:r>
      <w:r>
        <w:t>[</w:t>
      </w:r>
      <w:r>
        <w:rPr>
          <w:strike w:val="true"/>
        </w:rPr>
        <w:t xml:space="preserve">Electronic references shall be acceptable.</w:t>
      </w:r>
      <w:r>
        <w:t>]</w:t>
      </w:r>
    </w:p>
    <w:p>
      <w:pPr>
        <w:pStyle w:val="kar_signature"/>
      </w:pPr>
      <w:r>
        <w:t xml:space="preserve">CHRISTOPHER HARLOW, PharmD, Executive Director</w:t>
      </w:r>
    </w:p>
    <w:p>
      <w:pPr>
        <w:pStyle w:val="kar_normal"/>
      </w:pPr>
      <w:r>
        <w:t xml:space="preserve"/>
      </w:r>
    </w:p>
    <w:p>
      <w:pPr>
        <w:pStyle w:val="kar_approved_by"/>
      </w:pPr>
      <w:r>
        <w:t xml:space="preserve">APPROVED BY AGENCY: December 13,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 </w:t>
      </w:r>
    </w:p>
    <w:p>
      <w:pPr>
        <w:pStyle w:val="kar_normal"/>
        <w:ind w:left="0"/>
      </w:pPr>
      <w:r>
        <w:t xml:space="preserve">Subject Headings:</w:t>
      </w:r>
      <w:r>
        <w:t xml:space="preserve"> Pharmacy; Workforce Development;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reference material and equipment required for pharmaceutical practice.</w:t>
      </w:r>
    </w:p>
    <w:p>
      <w:pPr>
        <w:pStyle w:val="kar_normal"/>
        <w:ind w:left="576"/>
      </w:pPr>
      <w:r>
        <w:t xml:space="preserve">(b) The necessity of this administrative regulation:</w:t>
      </w:r>
    </w:p>
    <w:p>
      <w:pPr>
        <w:pStyle w:val="kar_normal"/>
        <w:ind w:left="720"/>
      </w:pPr>
      <w:r>
        <w:t xml:space="preserve">KRS 315.0353(6) authorizes the Board of Pharmacy to promulgate administrative regulations regarding reference material and equipment suitable for pharmaceutical practice.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minimum reference material and equipment required for pharmaceutical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Removes the language from Section (1)(b)(1-9) and (2) to remove outdated requirements and requirements that are necessarily will be added to 201 KAR 2:205 because the pharmacist-in-charge is responsible for ensuring there is proper access to reference materials and equipment.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removes outdated language and clarifies the responsibility for ensuring that a pharmacy has proper reference material and equipment in 201 KAR 2:205 (pharmacist-in-charge).</w:t>
      </w:r>
    </w:p>
    <w:p>
      <w:pPr>
        <w:pStyle w:val="kar_normal"/>
        <w:ind w:left="576"/>
      </w:pPr>
      <w:r>
        <w:t xml:space="preserve">(b) The necessity of the amendment to this administrative regulation:</w:t>
      </w:r>
    </w:p>
    <w:p>
      <w:pPr>
        <w:pStyle w:val="kar_normal"/>
        <w:ind w:left="720"/>
      </w:pPr>
      <w:r>
        <w:t xml:space="preserve">The criteria needed to be updated to reflect modern pharmacy conditions.</w:t>
      </w:r>
    </w:p>
    <w:p>
      <w:pPr>
        <w:pStyle w:val="kar_normal"/>
        <w:ind w:left="576"/>
      </w:pPr>
      <w:r>
        <w:t xml:space="preserve">(c) How the amendment conforms to the content of the authorizing statutes:</w:t>
      </w:r>
    </w:p>
    <w:p>
      <w:pPr>
        <w:pStyle w:val="kar_normal"/>
        <w:ind w:left="720"/>
      </w:pPr>
      <w:r>
        <w:t xml:space="preserve">KRS 315.002 and 315.005 authorize the Board to regulate the practice of pharmacy. KRS 315.191 authorizes the Board to promulgate administrative regulations pertaining to pharmacists and pharmacies. KRS 315.0353(6) authorizes the Board of Pharmacy to promulgate administrative regulations regarding reference material and equipment suitable for pharmaceutical practice.</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most accurate and up to date information. In addition, the removal of the responsibility and inclusion of that language in 201 KAR 2:205 provides clarification for the responsibility of maintaining reference materials and equipment.</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requirements are not changing and therefore the Board anticipates that no individual, business, organization or state or local government will be affected by this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changes or additional responsibilities added as this was just clarification.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 because there are no changes to requirement being made at this time.</w:t>
      </w:r>
    </w:p>
    <w:p>
      <w:pPr>
        <w:pStyle w:val="kar_normal"/>
        <w:ind w:left="576"/>
      </w:pPr>
      <w:r>
        <w:t xml:space="preserve">(c) As a result of compliance, what benefits will accrue to the entities identified in question (4):</w:t>
      </w:r>
    </w:p>
    <w:p>
      <w:pPr>
        <w:pStyle w:val="kar_normal"/>
        <w:ind w:left="720"/>
      </w:pPr>
      <w:r>
        <w:t xml:space="preserve">Pharmacists and the public can refer to the correct information for reference material and equipment needs.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315.035(6)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315.035(6)</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9d88a0bd6a41b7" /><Relationship Type="http://schemas.openxmlformats.org/officeDocument/2006/relationships/settings" Target="/word/settings.xml" Id="R10d906f67760416b" /></Relationships>
</file>