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39590aca0f4d1e"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12:500.</w:t>
      </w:r>
      <w:r>
        <w:t xml:space="preserve"> </w:t>
      </w:r>
      <w:r>
        <w:rPr>
          <w:u w:val="single"/>
        </w:rPr>
        <w:t xml:space="preserve">Going out of business, fire, removal and other KRS 365.415 sales</w:t>
      </w:r>
      <w:r>
        <w:t>[</w:t>
      </w:r>
      <w:r>
        <w:rPr>
          <w:strike w:val="true"/>
        </w:rPr>
        <w:t xml:space="preserve">Application for conducting more than two (2) going-out-of-business sales in four (4) years form</w:t>
      </w:r>
      <w:r>
        <w:t>]</w:t>
      </w:r>
      <w:r>
        <w:t xml:space="preserve">.</w:t>
      </w:r>
    </w:p>
    <w:p>
      <w:pPr>
        <w:pStyle w:val="kar_markup_metadata"/>
      </w:pPr>
      <w:r>
        <w:t xml:space="preserve">RELATES TO: </w:t>
      </w:r>
      <w:r>
        <w:t xml:space="preserve">KRS </w:t>
      </w:r>
      <w:r>
        <w:rPr>
          <w:u w:val="single"/>
        </w:rPr>
        <w:t xml:space="preserve">365.415, 365.420</w:t>
      </w:r>
      <w:r>
        <w:t>[</w:t>
      </w:r>
      <w:r>
        <w:rPr>
          <w:strike w:val="true"/>
        </w:rPr>
        <w:t xml:space="preserve">365.447</w:t>
      </w:r>
      <w:r>
        <w:t>]</w:t>
      </w:r>
    </w:p>
    <w:p>
      <w:pPr>
        <w:pStyle w:val="kar_markup_metadata"/>
      </w:pPr>
      <w:r>
        <w:t xml:space="preserve">STATUTORY AUTHORITY: </w:t>
      </w:r>
      <w:r>
        <w:t xml:space="preserve">KRS 15.180, 367.150(4), </w:t>
      </w:r>
      <w:r>
        <w:rPr>
          <w:u w:val="single"/>
        </w:rPr>
        <w:t xml:space="preserve">365.420(7)</w:t>
      </w:r>
      <w:r>
        <w:t>[</w:t>
      </w:r>
      <w:r>
        <w:rPr>
          <w:strike w:val="true"/>
        </w:rPr>
        <w:t xml:space="preserve">365.447</w:t>
      </w:r>
      <w:r>
        <w:t>]</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365.415 and 365.420 require sellers conducting going out of business, fire, removal and other KRS 365.415 sales to submit license applications and bonds with the county clerk where the sales occur. KRS 365.420(7) requires the Attorney General to promulgate an administrative regulation to establish a license application form containing an inventory itemization relating to going out of business, fire, removal and other KRS 365.415 sales. KRS 365.420(8) requires applicants to submit surety bonds to county clerks with an application. This administrative regulation prescribes the license application and bond forms to be used by persons conducting going out of business, fire, removal, and other KRS 365.415 sales.</w:t>
      </w:r>
      <w:r>
        <w:t>[</w:t>
      </w:r>
      <w:r>
        <w:rPr>
          <w:strike w:val="true"/>
        </w:rPr>
        <w:t xml:space="preserve">To fulfill the requirement for an application form to conduct more than two (2) going-out-of-business sales in a four (4) year period identified in KRS 365.447.</w:t>
      </w:r>
      <w:r>
        <w:t>]</w:t>
      </w:r>
    </w:p>
    <w:p>
      <w:pPr>
        <w:pStyle w:val="kar_section"/>
      </w:pPr>
      <w:r>
        <w:t xml:space="preserve">Section 1.</w:t>
      </w:r>
      <w:r>
        <w:t xml:space="preserve"> </w:t>
      </w:r>
      <w:r>
        <w:rPr>
          <w:u w:val="single"/>
        </w:rPr>
        <w:t xml:space="preserve">License</w:t>
      </w:r>
      <w:r>
        <w:t xml:space="preserve"> Application for </w:t>
      </w:r>
      <w:r>
        <w:rPr>
          <w:u w:val="single"/>
        </w:rPr>
        <w:t xml:space="preserve">Going out of Business, Fire, Removal or Other KRS 365.415 Sale</w:t>
      </w:r>
      <w:r>
        <w:t>[</w:t>
      </w:r>
      <w:r>
        <w:rPr>
          <w:strike w:val="true"/>
        </w:rPr>
        <w:t xml:space="preserve">Excess Permits Form</w:t>
      </w:r>
      <w:r>
        <w:t>]</w:t>
      </w:r>
      <w:r>
        <w:t xml:space="preserve">. </w:t>
      </w:r>
      <w:r>
        <w:rPr>
          <w:u w:val="single"/>
        </w:rPr>
        <w:t xml:space="preserve">(1) A seller shall not conduct a going out of business, fire, removal, or other KRS 365.415 sale unless the county clerk of the county where a proposed sale is located approves a seller's license application in accordance with this administrative regulation. An applicant shall complete and submit a Going out of Business, Fire, Removal, or Other Sale license application, Form GOB-1, to the county clerk, and submit a completed Going out of Business, Fire, Removal or Other KRS 365.415 Sale Surety Bond, Form GOB-2, or other surety bond satisfactory to the county clerk.</w:t>
      </w:r>
      <w:r>
        <w:t>[</w:t>
      </w:r>
      <w:r>
        <w:rPr>
          <w:strike w:val="true"/>
        </w:rPr>
        <w:t xml:space="preserve">The "Application for Excess Permits Form GOB-2" required by KRS 365.447 shall contain the following information:</w:t>
      </w:r>
      <w:r>
        <w:t>]</w:t>
      </w:r>
    </w:p>
    <w:p>
      <w:pPr>
        <w:pStyle w:val="kar_subsection"/>
      </w:pPr>
      <w:r>
        <w:t>[</w:t>
      </w:r>
      <w:r>
        <w:rPr>
          <w:strike w:val="true"/>
        </w:rPr>
        <w:t xml:space="preserve">(1)</w:t>
      </w:r>
      <w:r>
        <w:t>]</w:t>
      </w:r>
      <w:r>
        <w:t xml:space="preserve"> </w:t>
      </w:r>
      <w:r>
        <w:t>[</w:t>
      </w:r>
      <w:r>
        <w:rPr>
          <w:strike w:val="true"/>
        </w:rPr>
        <w:t xml:space="preserve">The title of the county clerk;</w:t>
      </w:r>
      <w:r>
        <w:t>]</w:t>
      </w:r>
    </w:p>
    <w:p>
      <w:pPr>
        <w:pStyle w:val="kar_subsection"/>
      </w:pPr>
      <w:r>
        <w:t>[</w:t>
      </w:r>
      <w:r>
        <w:rPr>
          <w:strike w:val="true"/>
        </w:rPr>
        <w:t xml:space="preserve">(2)</w:t>
      </w:r>
      <w:r>
        <w:t>]</w:t>
      </w:r>
      <w:r>
        <w:t xml:space="preserve"> </w:t>
      </w:r>
      <w:r>
        <w:t>[</w:t>
      </w:r>
      <w:r>
        <w:rPr>
          <w:strike w:val="true"/>
        </w:rPr>
        <w:t xml:space="preserve">The number of going-out-of-business permits acquired by the applicant during past four (4) years;</w:t>
      </w:r>
      <w:r>
        <w:t>]</w:t>
      </w:r>
    </w:p>
    <w:p>
      <w:pPr>
        <w:pStyle w:val="kar_subsection"/>
      </w:pPr>
      <w:r>
        <w:t>[</w:t>
      </w:r>
      <w:r>
        <w:rPr>
          <w:strike w:val="true"/>
        </w:rPr>
        <w:t xml:space="preserve">(3)</w:t>
      </w:r>
      <w:r>
        <w:t>]</w:t>
      </w:r>
      <w:r>
        <w:t xml:space="preserve"> </w:t>
      </w:r>
      <w:r>
        <w:t>[</w:t>
      </w:r>
      <w:r>
        <w:rPr>
          <w:strike w:val="true"/>
        </w:rPr>
        <w:t xml:space="preserve">For each of the previous sales, the applicant shall provide the name of the store involved, the name(s) of the owner(s), and the date and address of the sale;</w:t>
      </w:r>
      <w:r>
        <w:t>]</w:t>
      </w:r>
    </w:p>
    <w:p>
      <w:pPr>
        <w:pStyle w:val="kar_subsection"/>
      </w:pPr>
      <w:r>
        <w:t>[</w:t>
      </w:r>
      <w:r>
        <w:rPr>
          <w:strike w:val="true"/>
        </w:rPr>
        <w:t xml:space="preserve">(4)</w:t>
      </w:r>
      <w:r>
        <w:t>]</w:t>
      </w:r>
      <w:r>
        <w:t xml:space="preserve"> </w:t>
      </w:r>
      <w:r>
        <w:t>[</w:t>
      </w:r>
      <w:r>
        <w:rPr>
          <w:strike w:val="true"/>
        </w:rPr>
        <w:t xml:space="preserve">The name and address of the owner(s) of the goods to be sold. If the owner is a partnership, corporation, firm, or association, list all partners and officers;</w:t>
      </w:r>
      <w:r>
        <w:t>]</w:t>
      </w:r>
    </w:p>
    <w:p>
      <w:pPr>
        <w:pStyle w:val="kar_subsection"/>
      </w:pPr>
      <w:r>
        <w:t>[</w:t>
      </w:r>
      <w:r>
        <w:rPr>
          <w:strike w:val="true"/>
        </w:rPr>
        <w:t xml:space="preserve">(5)</w:t>
      </w:r>
      <w:r>
        <w:t>]</w:t>
      </w:r>
      <w:r>
        <w:t xml:space="preserve"> </w:t>
      </w:r>
      <w:r>
        <w:t>[</w:t>
      </w:r>
      <w:r>
        <w:rPr>
          <w:strike w:val="true"/>
        </w:rPr>
        <w:t xml:space="preserve">The address of the principal office of the applicant in Kentucky;</w:t>
      </w:r>
      <w:r>
        <w:t>]</w:t>
      </w:r>
    </w:p>
    <w:p>
      <w:pPr>
        <w:pStyle w:val="kar_subsection"/>
      </w:pPr>
      <w:r>
        <w:t>[</w:t>
      </w:r>
      <w:r>
        <w:rPr>
          <w:strike w:val="true"/>
        </w:rPr>
        <w:t xml:space="preserve">(6)</w:t>
      </w:r>
      <w:r>
        <w:t>]</w:t>
      </w:r>
      <w:r>
        <w:t xml:space="preserve"> </w:t>
      </w:r>
      <w:r>
        <w:t>[</w:t>
      </w:r>
      <w:r>
        <w:rPr>
          <w:strike w:val="true"/>
        </w:rPr>
        <w:t xml:space="preserve">The date and place of incorporation or organization of the business;</w:t>
      </w:r>
      <w:r>
        <w:t>]</w:t>
      </w:r>
    </w:p>
    <w:p>
      <w:pPr>
        <w:pStyle w:val="kar_subsection"/>
      </w:pPr>
      <w:r>
        <w:t>[</w:t>
      </w:r>
      <w:r>
        <w:rPr>
          <w:strike w:val="true"/>
        </w:rPr>
        <w:t xml:space="preserve">(7)</w:t>
      </w:r>
      <w:r>
        <w:t>]</w:t>
      </w:r>
      <w:r>
        <w:t xml:space="preserve"> </w:t>
      </w:r>
      <w:r>
        <w:t>[</w:t>
      </w:r>
      <w:r>
        <w:rPr>
          <w:strike w:val="true"/>
        </w:rPr>
        <w:t xml:space="preserve">Whether the controlling interest in the firm or business has been transferred within the twelve (12) months prior to the filing of the application. If the answer is yes, then specify the parties to the transfer and the date of the transfer;</w:t>
      </w:r>
      <w:r>
        <w:t>]</w:t>
      </w:r>
    </w:p>
    <w:p>
      <w:pPr>
        <w:pStyle w:val="kar_subsection"/>
      </w:pPr>
      <w:r>
        <w:t>[</w:t>
      </w:r>
      <w:r>
        <w:rPr>
          <w:strike w:val="true"/>
        </w:rPr>
        <w:t xml:space="preserve">(8)</w:t>
      </w:r>
      <w:r>
        <w:t>]</w:t>
      </w:r>
      <w:r>
        <w:t xml:space="preserve"> </w:t>
      </w:r>
      <w:r>
        <w:t>[</w:t>
      </w:r>
      <w:r>
        <w:rPr>
          <w:strike w:val="true"/>
        </w:rPr>
        <w:t xml:space="preserve">The name and style in which the sale is to be conducted;</w:t>
      </w:r>
      <w:r>
        <w:t>]</w:t>
      </w:r>
    </w:p>
    <w:p>
      <w:pPr>
        <w:pStyle w:val="kar_subsection"/>
      </w:pPr>
      <w:r>
        <w:t>[</w:t>
      </w:r>
      <w:r>
        <w:rPr>
          <w:strike w:val="true"/>
        </w:rPr>
        <w:t xml:space="preserve">(9)</w:t>
      </w:r>
      <w:r>
        <w:t>]</w:t>
      </w:r>
      <w:r>
        <w:t xml:space="preserve"> </w:t>
      </w:r>
      <w:r>
        <w:t>[</w:t>
      </w:r>
      <w:r>
        <w:rPr>
          <w:strike w:val="true"/>
        </w:rPr>
        <w:t xml:space="preserve">The address of the premises where the sale will be conducted;</w:t>
      </w:r>
      <w:r>
        <w:t>]</w:t>
      </w:r>
    </w:p>
    <w:p>
      <w:pPr>
        <w:pStyle w:val="kar_subsection"/>
      </w:pPr>
      <w:r>
        <w:t>[</w:t>
      </w:r>
      <w:r>
        <w:rPr>
          <w:strike w:val="true"/>
        </w:rPr>
        <w:t xml:space="preserve">(10)</w:t>
      </w:r>
      <w:r>
        <w:t>]</w:t>
      </w:r>
      <w:r>
        <w:t xml:space="preserve"> </w:t>
      </w:r>
      <w:r>
        <w:t>[</w:t>
      </w:r>
      <w:r>
        <w:rPr>
          <w:strike w:val="true"/>
        </w:rPr>
        <w:t xml:space="preserve">The date the sale is to begin and the projected duration of the sale;</w:t>
      </w:r>
      <w:r>
        <w:t>]</w:t>
      </w:r>
    </w:p>
    <w:p>
      <w:pPr>
        <w:pStyle w:val="kar_subsection"/>
      </w:pPr>
      <w:r>
        <w:t>[</w:t>
      </w:r>
      <w:r>
        <w:rPr>
          <w:strike w:val="true"/>
        </w:rPr>
        <w:t xml:space="preserve">(11)</w:t>
      </w:r>
      <w:r>
        <w:t>]</w:t>
      </w:r>
      <w:r>
        <w:t xml:space="preserve"> </w:t>
      </w:r>
      <w:r>
        <w:t>[</w:t>
      </w:r>
      <w:r>
        <w:rPr>
          <w:strike w:val="true"/>
        </w:rPr>
        <w:t xml:space="preserve">The name and address of the person who will be in charge and responsible for the conduct of the sale;</w:t>
      </w:r>
      <w:r>
        <w:t>]</w:t>
      </w:r>
    </w:p>
    <w:p>
      <w:pPr>
        <w:pStyle w:val="kar_subsection"/>
      </w:pPr>
      <w:r>
        <w:t>[</w:t>
      </w:r>
      <w:r>
        <w:rPr>
          <w:strike w:val="true"/>
        </w:rPr>
        <w:t xml:space="preserve">(12)</w:t>
      </w:r>
      <w:r>
        <w:t>]</w:t>
      </w:r>
      <w:r>
        <w:t xml:space="preserve"> </w:t>
      </w:r>
      <w:r>
        <w:t>[</w:t>
      </w:r>
      <w:r>
        <w:rPr>
          <w:strike w:val="true"/>
        </w:rPr>
        <w:t xml:space="preserve">Nature of the occupancy (lease, etc.) of the premises where the sale is to be held, and the effective date of the termination of the occupancy;</w:t>
      </w:r>
      <w:r>
        <w:t>]</w:t>
      </w:r>
    </w:p>
    <w:p>
      <w:pPr>
        <w:pStyle w:val="kar_subsection"/>
      </w:pPr>
      <w:r>
        <w:t>[</w:t>
      </w:r>
      <w:r>
        <w:rPr>
          <w:strike w:val="true"/>
        </w:rPr>
        <w:t xml:space="preserve">(13)</w:t>
      </w:r>
      <w:r>
        <w:t>]</w:t>
      </w:r>
      <w:r>
        <w:t xml:space="preserve"> </w:t>
      </w:r>
      <w:r>
        <w:t>[</w:t>
      </w:r>
      <w:r>
        <w:rPr>
          <w:strike w:val="true"/>
        </w:rPr>
        <w:t xml:space="preserve">The condition or necessity which is the occasion of the sale;</w:t>
      </w:r>
      <w:r>
        <w:t>]</w:t>
      </w:r>
    </w:p>
    <w:p>
      <w:pPr>
        <w:pStyle w:val="kar_subsection"/>
      </w:pPr>
      <w:r>
        <w:t>[</w:t>
      </w:r>
      <w:r>
        <w:rPr>
          <w:strike w:val="true"/>
        </w:rPr>
        <w:t xml:space="preserve">(14)</w:t>
      </w:r>
      <w:r>
        <w:t>]</w:t>
      </w:r>
      <w:r>
        <w:t xml:space="preserve"> </w:t>
      </w:r>
      <w:r>
        <w:t>[</w:t>
      </w:r>
      <w:r>
        <w:rPr>
          <w:strike w:val="true"/>
        </w:rPr>
        <w:t xml:space="preserve">An explanation of the condition or necessity for the previous sales, and the legitimate business reason for obtaining the excess permits;</w:t>
      </w:r>
      <w:r>
        <w:t>]</w:t>
      </w:r>
    </w:p>
    <w:p>
      <w:pPr>
        <w:pStyle w:val="kar_subsection"/>
      </w:pPr>
      <w:r>
        <w:t>[</w:t>
      </w:r>
      <w:r>
        <w:rPr>
          <w:strike w:val="true"/>
        </w:rPr>
        <w:t xml:space="preserve">(15)</w:t>
      </w:r>
      <w:r>
        <w:t>]</w:t>
      </w:r>
      <w:r>
        <w:t xml:space="preserve"> </w:t>
      </w:r>
      <w:r>
        <w:t>[</w:t>
      </w:r>
      <w:r>
        <w:rPr>
          <w:strike w:val="true"/>
        </w:rPr>
        <w:t xml:space="preserve">The name of the sale, and the reason why the name is truthfully descriptive of the sale;</w:t>
      </w:r>
      <w:r>
        <w:t>]</w:t>
      </w:r>
    </w:p>
    <w:p>
      <w:pPr>
        <w:pStyle w:val="kar_subsection"/>
      </w:pPr>
      <w:r>
        <w:t>[</w:t>
      </w:r>
      <w:r>
        <w:rPr>
          <w:strike w:val="true"/>
        </w:rPr>
        <w:t xml:space="preserve">(16)</w:t>
      </w:r>
      <w:r>
        <w:t>]</w:t>
      </w:r>
      <w:r>
        <w:t xml:space="preserve"> </w:t>
      </w:r>
      <w:r>
        <w:t>[</w:t>
      </w:r>
      <w:r>
        <w:rPr>
          <w:strike w:val="true"/>
        </w:rPr>
        <w:t xml:space="preserve">The location to which the business will be relocated if the sale is a removal sale;</w:t>
      </w:r>
      <w:r>
        <w:t>]</w:t>
      </w:r>
    </w:p>
    <w:p>
      <w:pPr>
        <w:pStyle w:val="kar_subsection"/>
      </w:pPr>
      <w:r>
        <w:t>[</w:t>
      </w:r>
      <w:r>
        <w:rPr>
          <w:strike w:val="true"/>
        </w:rPr>
        <w:t xml:space="preserve">(17)</w:t>
      </w:r>
      <w:r>
        <w:t>]</w:t>
      </w:r>
      <w:r>
        <w:t xml:space="preserve"> </w:t>
      </w:r>
      <w:r>
        <w:t>[</w:t>
      </w:r>
      <w:r>
        <w:rPr>
          <w:strike w:val="true"/>
        </w:rPr>
        <w:t xml:space="preserve">The time, location, and cause of damage to the goods if the license is to conduct a fire sale;</w:t>
      </w:r>
      <w:r>
        <w:t>]</w:t>
      </w:r>
    </w:p>
    <w:p>
      <w:pPr>
        <w:pStyle w:val="kar_subsection"/>
      </w:pPr>
      <w:r>
        <w:t>[</w:t>
      </w:r>
      <w:r>
        <w:rPr>
          <w:strike w:val="true"/>
        </w:rPr>
        <w:t xml:space="preserve">(18)</w:t>
      </w:r>
      <w:r>
        <w:t>]</w:t>
      </w:r>
      <w:r>
        <w:t xml:space="preserve"> </w:t>
      </w:r>
      <w:r>
        <w:t>[</w:t>
      </w:r>
      <w:r>
        <w:rPr>
          <w:strike w:val="true"/>
        </w:rPr>
        <w:t xml:space="preserve">Whether the sale involves foods or drugs damaged by fire or other casualty. If it does, proof of approval by the Department for Human Resources must be provided before the application may be accepted;</w:t>
      </w:r>
      <w:r>
        <w:t>]</w:t>
      </w:r>
    </w:p>
    <w:p>
      <w:pPr>
        <w:pStyle w:val="kar_subsection"/>
      </w:pPr>
      <w:r>
        <w:t>[</w:t>
      </w:r>
      <w:r>
        <w:rPr>
          <w:strike w:val="true"/>
        </w:rPr>
        <w:t xml:space="preserve">(19)</w:t>
      </w:r>
      <w:r>
        <w:t>]</w:t>
      </w:r>
      <w:r>
        <w:t xml:space="preserve"> </w:t>
      </w:r>
      <w:r>
        <w:t>[</w:t>
      </w:r>
      <w:r>
        <w:rPr>
          <w:strike w:val="true"/>
        </w:rPr>
        <w:t xml:space="preserve">The total value of the inventory at cost, with inventory pages from Form GOB-1 attached;</w:t>
      </w:r>
      <w:r>
        <w:t>]</w:t>
      </w:r>
    </w:p>
    <w:p>
      <w:pPr>
        <w:pStyle w:val="kar_subsection"/>
      </w:pPr>
      <w:r>
        <w:t>[</w:t>
      </w:r>
      <w:r>
        <w:rPr>
          <w:strike w:val="true"/>
        </w:rPr>
        <w:t xml:space="preserve">(20)</w:t>
      </w:r>
      <w:r>
        <w:t>]</w:t>
      </w:r>
      <w:r>
        <w:t xml:space="preserve"> </w:t>
      </w:r>
      <w:r>
        <w:t>[</w:t>
      </w:r>
      <w:r>
        <w:rPr>
          <w:strike w:val="true"/>
        </w:rPr>
        <w:t xml:space="preserve">The total value of the inventory at retail from the attached GOB-1 inventory pages;</w:t>
      </w:r>
      <w:r>
        <w:t>]</w:t>
      </w:r>
    </w:p>
    <w:p>
      <w:pPr>
        <w:pStyle w:val="kar_subsection"/>
      </w:pPr>
      <w:r>
        <w:t>[</w:t>
      </w:r>
      <w:r>
        <w:rPr>
          <w:strike w:val="true"/>
        </w:rPr>
        <w:t xml:space="preserve">(21)</w:t>
      </w:r>
      <w:r>
        <w:t>]</w:t>
      </w:r>
      <w:r>
        <w:t xml:space="preserve"> </w:t>
      </w:r>
      <w:r>
        <w:t>[</w:t>
      </w:r>
      <w:r>
        <w:rPr>
          <w:strike w:val="true"/>
        </w:rPr>
        <w:t xml:space="preserve">A sworn and notarized statement from the authorized individual filing the application;</w:t>
      </w:r>
      <w:r>
        <w:t>]</w:t>
      </w:r>
    </w:p>
    <w:p>
      <w:pPr>
        <w:pStyle w:val="kar_subsection"/>
      </w:pPr>
      <w:r>
        <w:t>[</w:t>
      </w:r>
      <w:r>
        <w:rPr>
          <w:strike w:val="true"/>
        </w:rPr>
        <w:t xml:space="preserve">(22)</w:t>
      </w:r>
      <w:r>
        <w:t>]</w:t>
      </w:r>
      <w:r>
        <w:t xml:space="preserve"> </w:t>
      </w:r>
      <w:r>
        <w:t>[</w:t>
      </w:r>
      <w:r>
        <w:rPr>
          <w:strike w:val="true"/>
        </w:rPr>
        <w:t xml:space="preserve">A notice that the applicant will be charged the actual costs of the Attorney General's investigation. The minimum charge will be twenty-five (25) dollars, and the maximum charge will be $250.</w:t>
      </w:r>
      <w:r>
        <w:t>]</w:t>
      </w:r>
    </w:p>
    <w:p>
      <w:pPr>
        <w:pStyle w:val="kar_section"/>
      </w:pPr>
      <w:r>
        <w:t xml:space="preserve">Section 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subsection"/>
      </w:pPr>
      <w:r>
        <w:t>[</w:t>
      </w:r>
      <w:r>
        <w:rPr>
          <w:strike w:val="true"/>
        </w:rPr>
        <w:t xml:space="preserve">(1)</w:t>
      </w:r>
      <w:r>
        <w:t>]</w:t>
      </w:r>
      <w:r>
        <w:t xml:space="preserve"> </w:t>
      </w:r>
      <w:r>
        <w:t>[</w:t>
      </w:r>
      <w:r>
        <w:rPr>
          <w:strike w:val="true"/>
        </w:rPr>
        <w:t xml:space="preserve">The "Application for Conducting More Than Two (2) Going-out-of-business Sales in Four (4) Years Form GOB-2" is incorporated by reference.</w:t>
      </w:r>
      <w:r>
        <w:t>]</w:t>
      </w:r>
    </w:p>
    <w:p>
      <w:pPr>
        <w:pStyle w:val="kar_paragraph"/>
      </w:pPr>
      <w:r>
        <w:rPr>
          <w:u w:val="single"/>
        </w:rPr>
        <w:t xml:space="preserve">(a)</w:t>
      </w:r>
      <w:r>
        <w:t xml:space="preserve"> </w:t>
      </w:r>
      <w:r>
        <w:rPr>
          <w:u w:val="single"/>
        </w:rPr>
        <w:t xml:space="preserve">"Going Out of Business, Fire, and Removal Sale License Application", Form GOB-1, Feb. 2026; and</w:t>
      </w:r>
    </w:p>
    <w:p>
      <w:pPr>
        <w:pStyle w:val="kar_paragraph"/>
      </w:pPr>
      <w:r>
        <w:rPr>
          <w:u w:val="single"/>
        </w:rPr>
        <w:t xml:space="preserve">(b)</w:t>
      </w:r>
      <w:r>
        <w:t xml:space="preserve"> </w:t>
      </w:r>
      <w:r>
        <w:rPr>
          <w:u w:val="single"/>
        </w:rPr>
        <w:t xml:space="preserve">"Going Out of Business, Fire, and Removal Sale Surety Bond", Form GOB-2, Feb. 2026.</w:t>
      </w:r>
    </w:p>
    <w:p>
      <w:pPr>
        <w:pStyle w:val="kar_subsection"/>
      </w:pPr>
      <w:r>
        <w:t xml:space="preserve">(2)</w:t>
      </w:r>
      <w:r>
        <w:t xml:space="preserve"> </w:t>
      </w:r>
      <w:r>
        <w:rPr>
          <w:u w:val="single"/>
        </w:rPr>
        <w:t xml:space="preserve">This material may be inspected, copied, or obtained, subject to applicable copyright law,</w:t>
      </w:r>
      <w:r>
        <w:t>[</w:t>
      </w:r>
      <w:r>
        <w:rPr>
          <w:strike w:val="true"/>
        </w:rPr>
        <w:t xml:space="preserve">Copies of the "Application For Conducting More Than Two (2) Going-out-of-business Sales In Four (4) Years Form GOB-2" may be inspected, copied, or obtained</w:t>
      </w:r>
      <w:r>
        <w:t>]</w:t>
      </w:r>
      <w:r>
        <w:t xml:space="preserve"> at the Office of the Attorney General, </w:t>
      </w:r>
      <w:r>
        <w:rPr>
          <w:u w:val="single"/>
        </w:rPr>
        <w:t xml:space="preserve">Capital Complex East</w:t>
      </w:r>
      <w:r>
        <w:t>[</w:t>
      </w:r>
      <w:r>
        <w:rPr>
          <w:strike w:val="true"/>
        </w:rPr>
        <w:t xml:space="preserve">Consumer Protection Division</w:t>
      </w:r>
      <w:r>
        <w:t>]</w:t>
      </w:r>
      <w:r>
        <w:t xml:space="preserve">, 1024 Capital Drive, Frankfort, Kentucky </w:t>
      </w:r>
      <w:r>
        <w:rPr>
          <w:u w:val="single"/>
        </w:rPr>
        <w:t xml:space="preserve">40601</w:t>
      </w:r>
      <w:r>
        <w:t>[</w:t>
      </w:r>
      <w:r>
        <w:rPr>
          <w:strike w:val="true"/>
        </w:rPr>
        <w:t xml:space="preserve">40602</w:t>
      </w:r>
      <w:r>
        <w:t>]</w:t>
      </w:r>
      <w:r>
        <w:t xml:space="preserve">, </w:t>
      </w:r>
      <w:r>
        <w:rPr>
          <w:u w:val="single"/>
        </w:rPr>
        <w:t xml:space="preserve">Monday through Friday, </w:t>
      </w:r>
      <w:r>
        <w:t xml:space="preserve">between the hours of </w:t>
      </w:r>
      <w:r>
        <w:rPr>
          <w:u w:val="single"/>
        </w:rPr>
        <w:t xml:space="preserve">8:00</w:t>
      </w:r>
      <w:r>
        <w:t>[</w:t>
      </w:r>
      <w:r>
        <w:rPr>
          <w:strike w:val="true"/>
        </w:rPr>
        <w:t xml:space="preserve">8:30</w:t>
      </w:r>
      <w:r>
        <w:t>]</w:t>
      </w:r>
      <w:r>
        <w:t xml:space="preserve"> a.m. and 4:30 p.m.</w:t>
      </w:r>
      <w:r>
        <w:t>[</w:t>
      </w:r>
      <w:r>
        <w:rPr>
          <w:strike w:val="true"/>
        </w:rPr>
        <w:t xml:space="preserve">, Monday through Friday.</w:t>
      </w:r>
      <w:r>
        <w:t>]</w:t>
      </w:r>
      <w:r>
        <w:rPr>
          <w:u w:val="single"/>
        </w:rPr>
        <w:t xml:space="preserve">This material is also available on the Office's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February 20, 2026</w:t>
      </w:r>
    </w:p>
    <w:p>
      <w:pPr>
        <w:pStyle w:val="kar_filed"/>
      </w:pPr>
      <w:r>
        <w:t xml:space="preserve">FILED WITH LRC: February 24, 2026 at 1:04 p.m.</w:t>
      </w:r>
    </w:p>
    <w:p>
      <w:pPr>
        <w:pStyle w:val="kar_normal"/>
      </w:pPr>
      <w:r>
        <w:t xml:space="preserve"/>
      </w:r>
    </w:p>
    <w:p>
      <w:pPr>
        <w:pStyle w:val="kar_comment_period"/>
      </w:pPr>
      <w:r>
        <w:t xml:space="preserve">PUBLIC HEARING AND PUBLIC COMMENT PERIOD: A public hearing on this administrative regulation shall be held on May 21, 2026, at 11:00 a.m. Eastern Time at the Office of Administrative Hearings, Conference Room B, 105 Sea Hero Road, Suite 2, Conference Room B, Frankfort, Kentucky 40601. Frankfort, Kentucky 40601. Individuals interested in being heard at this hearing shall notify this Office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502-696-5481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County Clerks; Occupations and Professions; and Bonds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license application form and surety bond form to be used by persons conducting going out of business, fire, removal, and other KRS 365.415 sales for submission to county clerks who issue the licenses.</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365.420(7) requires the Attorney General to promulgate administrative regulations to establish a license application containing inventory lists for persons conducting going out of business, fire, removal, and other KRS 365.415 sales for submission to county clerks who issue the licenses.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license application form and bond form to be used by persons conducting going out of business, fire, removal, and other KRS 365.415 sales for submission to county clerks who issue the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The amendment updates an incorporated form that it is easier for regulated businesses to complete. The amendment removes unnecessary language from the regulation as duplicative and already incorporated by reference in the updated form. This regulation and companion amendment to 40 KAR 12:400 combine three (3) regulations into two (2) regulations to reduce the regulatory burden on regulated entities. These companion amendments eliminate the need for 40 KAR 2:200, which is being repealed.</w:t>
      </w:r>
    </w:p>
    <w:p>
      <w:pPr>
        <w:pStyle w:val="kar_normal"/>
        <w:ind w:left="576"/>
      </w:pPr>
      <w:r>
        <w:t xml:space="preserve">(b) The necessity of the amendment to this administrative regulation:</w:t>
      </w:r>
    </w:p>
    <w:p>
      <w:pPr>
        <w:pStyle w:val="kar_normal"/>
        <w:ind w:left="720"/>
      </w:pPr>
      <w:r>
        <w:t xml:space="preserve">The necessity of the amendment to this administrative regulation: The Attorney General needs to update the regulation to conform to KRS Chapter 13A drafting requirements. The Attorney General needs to update its regulation and forms to make both more easily understood by regulated entities, county clerks and consumers.</w:t>
      </w:r>
    </w:p>
    <w:p>
      <w:pPr>
        <w:pStyle w:val="kar_normal"/>
        <w:ind w:left="576"/>
      </w:pPr>
      <w:r>
        <w:t xml:space="preserve">(c) How the amendment conforms to the content of the authorizing statutes:</w:t>
      </w:r>
    </w:p>
    <w:p>
      <w:pPr>
        <w:pStyle w:val="kar_normal"/>
        <w:ind w:left="720"/>
      </w:pPr>
      <w:r>
        <w:t xml:space="preserve">As previously explained, KRS 15.180, KRS 367.150(4) and KRS 365.420(7)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It is intended that the regulation amendment will cause the regulation to be more easily understood and the updated form to be more easily completed by regulated entities and county clerks.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an unknown number of KRS 365.415 sales license applicants each year and one hundred and twenty (120) county court clerks.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 applicants will be required to use the new forms incorporated into this regulation. County clerks will be required to review and process the new forms.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 applicants will bear no additional cost as they will be able download the new forms from the Attorney General’s website at no cost. County clerks will incur no additional costs from reviewing and processing the new application and bond forms.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 is intended to make the regulation more easily understood by regulated entities and county clerks. The regulation amendment is also intended to make the updated form to be more easily completed by regulated entities and county clerks.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regulation treats all applicants for going out of business, fire, removal, and other KRS 365.415 sales licenses from county clerks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and 365.420.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1960 Ky. Acts ch. 68, Art. II, sec. 1; 1972 Ky. Acts ch. 4, sec. 4; and 1966 Ky. Acts ch. 60, sec. 3.</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administrative regulation amendment does not affect any other state agencies.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This administrative regulation amendment will generate no revenues to the Attorney General for the first year.</w:t>
      </w:r>
    </w:p>
    <w:p>
      <w:pPr>
        <w:pStyle w:val="kar_normal"/>
        <w:ind w:left="864"/>
      </w:pPr>
      <w:r>
        <w:t xml:space="preserve">For subsequent years:</w:t>
      </w:r>
      <w:r>
        <w:t xml:space="preserve"> This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The administrative regulation amendment will result in no cost saving to the Attorney General for the first year.</w:t>
      </w:r>
    </w:p>
    <w:p>
      <w:pPr>
        <w:pStyle w:val="kar_normal"/>
        <w:ind w:left="864"/>
      </w:pPr>
      <w:r>
        <w:t xml:space="preserve">For subsequent years:</w:t>
      </w:r>
      <w:r>
        <w:t xml:space="preserve"> The administrative regulation amendment will result in no cost savings to the Attorney General in subsequent years.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affect all county clerks. The administrative regulation amendment does not affect any other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county clerks for the first year.</w:t>
      </w:r>
    </w:p>
    <w:p>
      <w:pPr>
        <w:pStyle w:val="kar_normal"/>
        <w:ind w:left="864"/>
      </w:pPr>
      <w:r>
        <w:t xml:space="preserve">For subsequent years:</w:t>
      </w:r>
      <w:r>
        <w:t xml:space="preserve"> This administrative regulation amendment will not cause expenditures by county clerks in subsequent years.</w:t>
      </w:r>
    </w:p>
    <w:p>
      <w:pPr>
        <w:pStyle w:val="kar_normal"/>
        <w:ind w:left="576"/>
      </w:pPr>
      <w:r>
        <w:t xml:space="preserve">2. Revenues:</w:t>
      </w:r>
    </w:p>
    <w:p>
      <w:pPr>
        <w:pStyle w:val="kar_normal"/>
        <w:ind w:left="864"/>
      </w:pPr>
      <w:r>
        <w:t xml:space="preserve">For the first year:</w:t>
      </w:r>
      <w:r>
        <w:t xml:space="preserve"> County clerks will receive no revenues from this administrative regulation amendment for the first year.</w:t>
      </w:r>
    </w:p>
    <w:p>
      <w:pPr>
        <w:pStyle w:val="kar_normal"/>
        <w:ind w:left="864"/>
      </w:pPr>
      <w:r>
        <w:t xml:space="preserve">For subsequent years:</w:t>
      </w:r>
      <w:r>
        <w:t xml:space="preserve"> County clerks will receive no revenues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It is intended that this administrative regulation amendment will cause county clerks to receive cost savings from efficient and quicker processing of the updated license application and bond forms, which are difficult to estimate at this time, but estimated to be de minimis, for the first year.</w:t>
      </w:r>
    </w:p>
    <w:p>
      <w:pPr>
        <w:pStyle w:val="kar_normal"/>
        <w:ind w:left="864"/>
      </w:pPr>
      <w:r>
        <w:t xml:space="preserve">For subsequent years:</w:t>
      </w:r>
      <w:r>
        <w:t xml:space="preserve"> It is intended that this administrative regulation amendment will cause county clerks to receive cost savings from efficient and quicker processing of the updated license application and bond forms, which are difficult to estimate at this time, but estimated to be de minimis, in subsequent years.</w:t>
      </w:r>
    </w:p>
    <w:p>
      <w:pPr>
        <w:pStyle w:val="kar_normal"/>
        <w:ind w:left="288"/>
      </w:pPr>
      <w:r>
        <w:t xml:space="preserve">(5)(a) Identify any affected regulated entities not listed in (3)(a) or (4)(a):</w:t>
      </w:r>
    </w:p>
    <w:p>
      <w:pPr>
        <w:pStyle w:val="kar_normal"/>
        <w:ind w:left="432"/>
      </w:pPr>
      <w:r>
        <w:t xml:space="preserve">Applicants seeking a going out of business sale or other KRS 365.415 licenses from county clerks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applicants to have any additional expenditures for the first year.</w:t>
      </w:r>
    </w:p>
    <w:p>
      <w:pPr>
        <w:pStyle w:val="kar_normal"/>
        <w:ind w:left="864"/>
      </w:pPr>
      <w:r>
        <w:t xml:space="preserve">For subsequent years:</w:t>
      </w:r>
      <w:r>
        <w:t xml:space="preserve"> This administrative regulation amendment will not cause applicants to have any additional expenditures in subsequent years.</w:t>
      </w:r>
    </w:p>
    <w:p>
      <w:pPr>
        <w:pStyle w:val="kar_normal"/>
        <w:ind w:left="576"/>
      </w:pPr>
      <w:r>
        <w:t xml:space="preserve">2. Revenues:</w:t>
      </w:r>
    </w:p>
    <w:p>
      <w:pPr>
        <w:pStyle w:val="kar_normal"/>
        <w:ind w:left="864"/>
      </w:pPr>
      <w:r>
        <w:t xml:space="preserve">For the first year:</w:t>
      </w:r>
      <w:r>
        <w:t xml:space="preserve"> Applicants will not receive any revenues directly from this administrative regulation amendment for the first year.</w:t>
      </w:r>
    </w:p>
    <w:p>
      <w:pPr>
        <w:pStyle w:val="kar_normal"/>
        <w:ind w:left="864"/>
      </w:pPr>
      <w:r>
        <w:t xml:space="preserve">For subsequent years:</w:t>
      </w:r>
      <w:r>
        <w:t xml:space="preserve"> Applicants will not receive any revenues directly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It is intended that this administrative regulation amendment will cause applicants to receive cost savings from quicker processing of the updated license application and bond forms, which are difficult to estimate at this time, but estimated to be de minimis, for the first year.</w:t>
      </w:r>
    </w:p>
    <w:p>
      <w:pPr>
        <w:pStyle w:val="kar_normal"/>
        <w:ind w:left="864"/>
      </w:pPr>
      <w:r>
        <w:t xml:space="preserve">For subsequent years:</w:t>
      </w:r>
      <w:r>
        <w:t xml:space="preserve"> It is intended that this administrative regulation amendment will cause applicants to receive cost savings from quicker processing of the updated license application and bond forms, which are difficult to estimate at this time, but estimated to be de minimis, in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amendment: This administrative regulation amendment will have no fiscal impact. The amendment merely updates the application and bond forms used by applicants seeking going out of business sale or other KRS 365.415 sale licenses from county clerks. The amendment does not affect any other governmental agencies or local governments. The amendment does not increase any fees. For these reasons, the amendment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administrative regulation amendment for the Attorney General, any local government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d739f761344f9f" /><Relationship Type="http://schemas.openxmlformats.org/officeDocument/2006/relationships/settings" Target="/word/settings.xml" Id="R6f7ff190e5824202" /></Relationships>
</file>