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62759cee694f4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at ARRS Committee)</w:t>
      </w:r>
    </w:p>
    <w:p>
      <w:pPr>
        <w:pStyle w:val="kar_citation"/>
      </w:pPr>
      <w:r>
        <w:t>804 KAR 13:020.</w:t>
      </w:r>
      <w:r>
        <w:t xml:space="preserve"> </w:t>
      </w:r>
      <w:r>
        <w:t xml:space="preserve">Tobacco, nicotine, or vapor product license application forms.</w:t>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 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may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October 2025;</w:t>
      </w:r>
    </w:p>
    <w:p>
      <w:pPr>
        <w:pStyle w:val="kar_paragraph"/>
      </w:pPr>
      <w:r>
        <w:t xml:space="preserve">(b)</w:t>
      </w:r>
      <w:r>
        <w:t xml:space="preserve"> </w:t>
      </w:r>
      <w:r>
        <w:t xml:space="preserve">"Tobacco, Nicotine, or Vapor Product License Renewal Application," October 2025.</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p>
      <w:pPr>
        <w:pStyle w:val="kar_section"/>
      </w:pPr>
      <w:r>
        <w:rPr>
          <w:b/>
          <w:i/>
          <w:u w:val="single"/>
        </w:rPr>
        <w:t xml:space="preserve">Section 8.</w:t>
      </w:r>
      <w:r>
        <w:t xml:space="preserve"> </w:t>
      </w:r>
      <w:r>
        <w:rPr>
          <w:b/>
          <w:i/>
          <w:u w:val="single"/>
        </w:rPr>
        <w:t xml:space="preserve">This administrative regulation was found deficient by the Administrative Regulation Review Subcommittee on March 9, 2026.</w:t>
      </w:r>
    </w:p>
    <w:p>
      <w:pPr>
        <w:pStyle w:val="kar_signature"/>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8081b638044cce" /><Relationship Type="http://schemas.openxmlformats.org/officeDocument/2006/relationships/settings" Target="/word/settings.xml" Id="Rce9f67b138d54714" /></Relationships>
</file>