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5f260e0b4144b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at ARRS Committee)</w:t>
      </w:r>
    </w:p>
    <w:p>
      <w:pPr>
        <w:pStyle w:val="kar_citation"/>
      </w:pPr>
      <w:r>
        <w:t>804 KAR 13:030.</w:t>
      </w:r>
      <w:r>
        <w:t xml:space="preserve"> </w:t>
      </w:r>
      <w:r>
        <w:t xml:space="preserve">Causes for denial of tobacco, nicotine, or vapor product license</w:t>
      </w:r>
    </w:p>
    <w:p>
      <w:pPr>
        <w:pStyle w:val="kar_markup_metadata"/>
      </w:pPr>
      <w:r>
        <w:t xml:space="preserve">RELATES TO: </w:t>
      </w:r>
      <w:r>
        <w:t xml:space="preserve">KRS 438.3063, 438.3067</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section"/>
      </w:pPr>
      <w:r>
        <w:t xml:space="preserve">Section 1.</w:t>
      </w:r>
      <w:r>
        <w:t xml:space="preserve"> </w:t>
      </w:r>
      <w:r>
        <w:t xml:space="preserve">An application for a tobacco, nicotine, or vapor product license shall be denied if:</w:t>
      </w:r>
    </w:p>
    <w:p>
      <w:pPr>
        <w:pStyle w:val="kar_subsection"/>
      </w:pPr>
      <w:r>
        <w:t xml:space="preserve">(1)</w:t>
      </w:r>
      <w:r>
        <w:t xml:space="preserve"> </w:t>
      </w:r>
      <w:r>
        <w:t xml:space="preserve">The applicant or the premises for which the tobacco, nicotine, or vapor product license is sought does not comply fully with all applicable statutes under KRS 438.305 and 438.350, and with the administrative regulations promulgated under 804 KAR Chapter 13;</w:t>
      </w:r>
    </w:p>
    <w:p>
      <w:pPr>
        <w:pStyle w:val="kar_subsection"/>
      </w:pPr>
      <w:r>
        <w:t xml:space="preserve">(2)</w:t>
      </w:r>
      <w:r>
        <w:t xml:space="preserve"> </w:t>
      </w:r>
      <w:r>
        <w:t xml:space="preserve">The applicant has engaged in any activity for which revocation of a tobacco, nicotine, or vapor product license would be authorized;</w:t>
      </w:r>
    </w:p>
    <w:p>
      <w:pPr>
        <w:pStyle w:val="kar_subsection"/>
      </w:pPr>
      <w:r>
        <w:t xml:space="preserve">(3)</w:t>
      </w:r>
      <w:r>
        <w:t xml:space="preserve"> </w:t>
      </w:r>
      <w:r>
        <w:t xml:space="preserve">The applicant has made any false material statement in its application; or</w:t>
      </w:r>
    </w:p>
    <w:p>
      <w:pPr>
        <w:pStyle w:val="kar_subsection"/>
      </w:pPr>
      <w:r>
        <w:t xml:space="preserve">(4)</w:t>
      </w:r>
      <w:r>
        <w:t xml:space="preserve"> </w:t>
      </w:r>
      <w:r>
        <w:t xml:space="preserve">The applicant fails to pay the tobacco, nicotine, or vapor product license fee established in KRS 438.3063(4).</w:t>
      </w:r>
    </w:p>
    <w:p>
      <w:pPr>
        <w:pStyle w:val="kar_section"/>
      </w:pPr>
      <w:r>
        <w:t xml:space="preserve">Section 2.</w:t>
      </w:r>
      <w:r>
        <w:t xml:space="preserve"> </w:t>
      </w:r>
      <w:r>
        <w:t xml:space="preserve">An application for a tobacco, nicotine, or vapor product license may be denied for any reason that the commissioner, in the exercise of the commissioner's sound discretion, deems sufficient. Among those factors that the commissioner shall consider in the exercise of this discretion are:</w:t>
      </w:r>
    </w:p>
    <w:p>
      <w:pPr>
        <w:pStyle w:val="kar_subsection"/>
      </w:pPr>
      <w:r>
        <w:t xml:space="preserve">(1)</w:t>
      </w:r>
      <w:r>
        <w:t xml:space="preserve"> </w:t>
      </w:r>
      <w:r>
        <w:t xml:space="preserve">Public sentiment in the area;</w:t>
      </w:r>
    </w:p>
    <w:p>
      <w:pPr>
        <w:pStyle w:val="kar_subsection"/>
      </w:pPr>
      <w:r>
        <w:t xml:space="preserve">(2)</w:t>
      </w:r>
      <w:r>
        <w:t xml:space="preserve"> </w:t>
      </w:r>
      <w:r>
        <w:t xml:space="preserve">Number of licensed outlets in the area;</w:t>
      </w:r>
    </w:p>
    <w:p>
      <w:pPr>
        <w:pStyle w:val="kar_subsection"/>
      </w:pPr>
      <w:r>
        <w:t xml:space="preserve">(3)</w:t>
      </w:r>
      <w:r>
        <w:t xml:space="preserve"> </w:t>
      </w:r>
      <w:r>
        <w:t xml:space="preserve">Potential for future growth;</w:t>
      </w:r>
    </w:p>
    <w:p>
      <w:pPr>
        <w:pStyle w:val="kar_subsection"/>
      </w:pPr>
      <w:r>
        <w:t xml:space="preserve">(4)</w:t>
      </w:r>
      <w:r>
        <w:t xml:space="preserve"> </w:t>
      </w:r>
      <w:r>
        <w:t xml:space="preserve">Type of area involved; and</w:t>
      </w:r>
    </w:p>
    <w:p>
      <w:pPr>
        <w:pStyle w:val="kar_subsection"/>
      </w:pPr>
      <w:r>
        <w:t xml:space="preserve">(5)</w:t>
      </w:r>
      <w:r>
        <w:t xml:space="preserve"> </w:t>
      </w:r>
      <w:r>
        <w:t xml:space="preserve">Financial potential of the area.</w:t>
      </w:r>
    </w:p>
    <w:p>
      <w:pPr>
        <w:pStyle w:val="kar_section"/>
      </w:pPr>
      <w:r>
        <w:rPr>
          <w:b/>
          <w:i/>
          <w:u w:val="single"/>
        </w:rPr>
        <w:t xml:space="preserve">Section 3.</w:t>
      </w:r>
      <w:r>
        <w:t xml:space="preserve"> </w:t>
      </w:r>
      <w:r>
        <w:rPr>
          <w:b/>
          <w:i/>
          <w:u w:val="single"/>
        </w:rPr>
        <w:t xml:space="preserve">This administrative regulation was found deficient by the Administrative Regulation Review Subcommittee on March 9, 2026.</w:t>
      </w:r>
    </w:p>
    <w:p>
      <w:pPr>
        <w:pStyle w:val="kar_signature"/>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4b42e256e4b37" /><Relationship Type="http://schemas.openxmlformats.org/officeDocument/2006/relationships/settings" Target="/word/settings.xml" Id="R53821bcca4b7421a" /></Relationships>
</file>