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7d6099d4d34861" /></Relationships>
</file>

<file path=word/document.xml><?xml version="1.0" encoding="utf-8"?>
<w:document xmlns:w="http://schemas.openxmlformats.org/wordprocessingml/2006/main">
  <w:body>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72.026, 216B.015(13), 218A.010(12), (40), 218A.202(3), 218A.205(2)(a), (6), 218A.240(7)(a), 42 C.F.R. Part 2</w:t>
      </w:r>
    </w:p>
    <w:p>
      <w:pPr>
        <w:pStyle w:val="kar_markup_metadata"/>
      </w:pPr>
      <w:r>
        <w:t xml:space="preserve">STATUTORY AUTHORITY: </w:t>
      </w:r>
      <w:r>
        <w:t xml:space="preserve">KRS 194A.050, 218A.202(1), (18),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establishes procedures to correct errors, and allows for disclosure of data to authorized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t xml:space="preserve">"Central registry" is an entity defined by 908 KAR 1:374, Section 1(3) that may report information to KASPER on behalf of a narcotic treatment program.</w:t>
      </w:r>
    </w:p>
    <w:p>
      <w:pPr>
        <w:pStyle w:val="kar_subsection"/>
      </w:pPr>
      <w:r>
        <w:t xml:space="preserve">(4)</w:t>
      </w:r>
      <w:r>
        <w:t xml:space="preserve"> </w:t>
      </w:r>
      <w:r>
        <w:t xml:space="preserve">"Dispenser" is defined by KRS 218A.010(12), and:</w:t>
      </w:r>
    </w:p>
    <w:p>
      <w:pPr>
        <w:pStyle w:val="kar_paragraph"/>
      </w:pPr>
      <w:r>
        <w:t xml:space="preserve">(a)</w:t>
      </w:r>
      <w:r>
        <w:t xml:space="preserve"> </w:t>
      </w:r>
      <w:r>
        <w:t xml:space="preserve">Includes a dispenser who has a DEA (Drug Enforcement Administration) number or is a pharmacist who owns or is employed by a facility that operates a pharmacy that has a DEA number;</w:t>
      </w:r>
    </w:p>
    <w:p>
      <w:pPr>
        <w:pStyle w:val="kar_paragraph"/>
      </w:pPr>
      <w:r>
        <w:t xml:space="preserve">(b)</w:t>
      </w:r>
      <w:r>
        <w:t xml:space="preserve"> </w:t>
      </w:r>
      <w:r>
        <w:t xml:space="preserve">Includes a narcotic treatment program licensed pursuant to 908 KAR 1:374; and</w:t>
      </w:r>
    </w:p>
    <w:p>
      <w:pPr>
        <w:pStyle w:val="kar_paragraph"/>
      </w:pPr>
      <w:r>
        <w:t xml:space="preserve">(c)</w:t>
      </w:r>
      <w:r>
        <w:t xml:space="preserve"> </w:t>
      </w:r>
      <w:r>
        <w:t xml:space="preserve">Does not include administration by an individual licensed to practice veterinary medicine under KRS Chapter 321.</w:t>
      </w:r>
    </w:p>
    <w:p>
      <w:pPr>
        <w:pStyle w:val="kar_paragraph"/>
      </w:pPr>
      <w:r>
        <w:t xml:space="preserve">(d)</w:t>
      </w:r>
      <w:r>
        <w:t xml:space="preserve"> </w:t>
      </w:r>
      <w:r>
        <w:t xml:space="preserve">Individuals licensed to practice veterinary medicine under KRS Chapter 321 are required to report medication dispensed to ultimate users.</w:t>
      </w:r>
    </w:p>
    <w:p>
      <w:pPr>
        <w:pStyle w:val="kar_subsection"/>
      </w:pPr>
      <w:r>
        <w:t xml:space="preserve">(5)</w:t>
      </w:r>
      <w:r>
        <w:t xml:space="preserve"> </w:t>
      </w:r>
      <w:r>
        <w:t xml:space="preserve">"Health facility" is defined by KRS 216B.015(13).</w:t>
      </w:r>
    </w:p>
    <w:p>
      <w:pPr>
        <w:pStyle w:val="kar_subsection"/>
      </w:pPr>
      <w:r>
        <w:t xml:space="preserve">(6)</w:t>
      </w:r>
      <w:r>
        <w:t xml:space="preserve"> </w:t>
      </w:r>
      <w:r>
        <w:t xml:space="preserve">"KASPER" means Kentucky All-Schedule Prescription Electronic Reporting System.</w:t>
      </w:r>
    </w:p>
    <w:p>
      <w:pPr>
        <w:pStyle w:val="kar_subsection"/>
      </w:pPr>
      <w:r>
        <w:t xml:space="preserve">(7)</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t xml:space="preserve">(8)</w:t>
      </w:r>
      <w:r>
        <w:t xml:space="preserve"> </w:t>
      </w:r>
      <w:r>
        <w:t xml:space="preserve">"Practitioner" is defined by KRS 218A.010(40).</w:t>
      </w:r>
    </w:p>
    <w:p>
      <w:pPr>
        <w:pStyle w:val="kar_subsection"/>
      </w:pPr>
      <w:r>
        <w:t xml:space="preserve">(9)</w:t>
      </w:r>
      <w:r>
        <w:t xml:space="preserve"> </w:t>
      </w:r>
      <w:r>
        <w:t xml:space="preserve">"Report" means a compilation of data concerning a patient, dispenser, practitioner, or controlled substance.</w:t>
      </w:r>
    </w:p>
    <w:p>
      <w:pPr>
        <w:pStyle w:val="kar_subsection"/>
      </w:pPr>
      <w:r>
        <w:t xml:space="preserve">(10)</w:t>
      </w:r>
      <w:r>
        <w:t xml:space="preserve"> </w:t>
      </w:r>
      <w:r>
        <w:t xml:space="preserve">"Suspected drug overdose" means an acute condition that:</w:t>
      </w:r>
    </w:p>
    <w:p>
      <w:pPr>
        <w:pStyle w:val="kar_paragraph"/>
      </w:pPr>
      <w:r>
        <w:t xml:space="preserve">(a)</w:t>
      </w:r>
      <w:r>
        <w:t xml:space="preserve"> </w:t>
      </w:r>
      <w:r>
        <w:t xml:space="preserve">Includes conditions such as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or poisoning by any substance corresponding to the following International Classification of Disease (ICD) version 10 (ICD-10) codes available at https://www.cms.gov/Medicare/Coding/ICD10:</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w:t>
      </w:r>
    </w:p>
    <w:p>
      <w:pPr>
        <w:pStyle w:val="kar_paragraph"/>
      </w:pPr>
      <w:r>
        <w:t xml:space="preserve">(a)</w:t>
      </w:r>
      <w:r>
        <w:t xml:space="preserve"> </w:t>
      </w:r>
      <w:r>
        <w:t xml:space="preserve">During the circumstances specified in KRS 218A.202(3)(b) (1) through (b)(3); or</w:t>
      </w:r>
    </w:p>
    <w:p>
      <w:pPr>
        <w:pStyle w:val="kar_paragraph"/>
      </w:pPr>
      <w:r>
        <w:t xml:space="preserve">(b)</w:t>
      </w:r>
      <w:r>
        <w:t xml:space="preserve"> </w:t>
      </w:r>
      <w:r>
        <w:t xml:space="preserve">If the controlled substance is dispensed by a narcotic treatment program for use to treat substance use disorder and the patient has not provided written consent that meets the requirements of 42 C.F.R. 2.31.</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or dispensing identification number assigned by the dispenser or health facility;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r>
        <w:t xml:space="preserve"> </w:t>
      </w:r>
    </w:p>
    <w:p>
      <w:pPr>
        <w:pStyle w:val="kar_paragraph"/>
      </w:pPr>
      <w:r>
        <w:t xml:space="preserve">(a)</w:t>
      </w:r>
      <w:r>
        <w:t xml:space="preserve"> </w:t>
      </w:r>
      <w:r>
        <w:t xml:space="preserve">An extension may be granted if the dispenser, health facility, or central registry:</w:t>
      </w:r>
    </w:p>
    <w:p>
      <w:pPr>
        <w:pStyle w:val="kar_subparagraph"/>
      </w:pPr>
      <w:r>
        <w:t xml:space="preserve">1.</w:t>
      </w:r>
      <w:r>
        <w:t xml:space="preserve"> </w:t>
      </w:r>
      <w:r>
        <w:t xml:space="preserve">Suffers a mechanical or electronic failure; or</w:t>
      </w:r>
    </w:p>
    <w:p>
      <w:pPr>
        <w:pStyle w:val="kar_subparagraph"/>
      </w:pPr>
      <w:r>
        <w:t xml:space="preserve">2.</w:t>
      </w:r>
      <w:r>
        <w:t xml:space="preserve"> </w:t>
      </w:r>
      <w:r>
        <w:t xml:space="preserve">Cannot meet the deadline established by subsection (3) of this section because of reasons beyond his or her control.</w:t>
      </w:r>
    </w:p>
    <w:p>
      <w:pPr>
        <w:pStyle w:val="kar_paragraph"/>
      </w:pPr>
      <w:r>
        <w:t xml:space="preserve">(b)</w:t>
      </w:r>
      <w:r>
        <w:t xml:space="preserve"> </w:t>
      </w:r>
      <w:r>
        <w:t xml:space="preserve">To request an extension, a written request shall:</w:t>
      </w:r>
    </w:p>
    <w:p>
      <w:pPr>
        <w:pStyle w:val="kar_subparagraph"/>
      </w:pPr>
      <w:r>
        <w:t xml:space="preserve">1.</w:t>
      </w:r>
      <w:r>
        <w:t xml:space="preserve"> </w:t>
      </w:r>
      <w:r>
        <w:t xml:space="preserve">Be submitted to the branch:</w:t>
      </w:r>
    </w:p>
    <w:p>
      <w:pPr>
        <w:pStyle w:val="kar_clause"/>
      </w:pPr>
      <w:r>
        <w:t xml:space="preserve">a.</w:t>
      </w:r>
      <w:r>
        <w:t xml:space="preserve"> </w:t>
      </w:r>
      <w:r>
        <w:t xml:space="preserve">Within twenty-four (24) hours of discovery of the circumstances necessitating the request; or</w:t>
      </w:r>
    </w:p>
    <w:p>
      <w:pPr>
        <w:pStyle w:val="kar_clause"/>
      </w:pPr>
      <w:r>
        <w:t xml:space="preserve">b.</w:t>
      </w:r>
      <w:r>
        <w:t xml:space="preserve"> </w:t>
      </w:r>
      <w:r>
        <w:t xml:space="preserve">If state offices are closed, on the next day that state offices are open for business following discovery of the circumstances necessitating the request; and</w:t>
      </w:r>
    </w:p>
    <w:p>
      <w:pPr>
        <w:pStyle w:val="kar_subparagraph"/>
      </w:pPr>
      <w:r>
        <w:t xml:space="preserve">2.</w:t>
      </w:r>
      <w:r>
        <w:t xml:space="preserve"> </w:t>
      </w:r>
      <w:r>
        <w:t xml:space="preserve">Provide a justification for the extension, including the length of time the extension is necessary.</w:t>
      </w:r>
    </w:p>
    <w:p>
      <w:pPr>
        <w:pStyle w:val="kar_subsection"/>
      </w:pPr>
      <w:r>
        <w:t xml:space="preserve">(5)</w:t>
      </w:r>
      <w:r>
        <w:t xml:space="preserve"> </w:t>
      </w:r>
      <w:r>
        <w:t xml:space="preserve">An extension shall be granted 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most recent version of the Implementation Guide, ASAP Standard for Prescription Monitoring Programs, developed by the American Society for Automation in Pharmacy available at asapnet.org, 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218A.202(3)(c),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provided by the patient or the patient's agent in accordance with Section 5 of this administrative regulation 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 </w:t>
      </w:r>
    </w:p>
    <w:p>
      <w:pPr>
        <w:pStyle w:val="kar_paragraph"/>
      </w:pPr>
      <w:r>
        <w:t xml:space="preserve">(a)</w:t>
      </w:r>
      <w:r>
        <w:t xml:space="preserve"> </w:t>
      </w:r>
      <w:r>
        <w:t xml:space="preserve">A request for a KASPER provider report made by a law enforcement or prosecutorial official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paragraph"/>
      </w:pPr>
      <w:r>
        <w:t xml:space="preserve">(b)</w:t>
      </w:r>
      <w:r>
        <w:t xml:space="preserve"> </w:t>
      </w:r>
      <w:r>
        <w:t xml:space="preserve">If the request made by a law enforcement or prosecutorial official authorized to receive data under KRS 218A.202 is for KASPER data on dispensing of controlled substances by a narcotic treatment program to treat substance use disorder, a report shall not be disclosed to the official unless there is a valid court order and subpoena requiring the release of the information and all other applicable provisions of 42 C.F.R. Part 2, Subpart E are met.</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Libraries, 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218A.202(3)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w:t>
      </w:r>
    </w:p>
    <w:p>
      <w:pPr>
        <w:pStyle w:val="kar_paragraph"/>
      </w:pPr>
      <w:r>
        <w:t xml:space="preserve">(a)</w:t>
      </w:r>
      <w:r>
        <w:t xml:space="preserve"> </w:t>
      </w:r>
      <w:r>
        <w:t xml:space="preserve">The persons and entities authorized to receive that data under KRS 218A.202(3)(f); and</w:t>
      </w:r>
    </w:p>
    <w:p>
      <w:pPr>
        <w:pStyle w:val="kar_paragraph"/>
      </w:pPr>
      <w:r>
        <w:t xml:space="preserve">(b)</w:t>
      </w:r>
      <w:r>
        <w:t xml:space="preserve"> </w:t>
      </w:r>
      <w:r>
        <w:t xml:space="preserve">The persons and entities authorized to receive data pursuant to 42 C.F.R. Part 2, Subparts C, D, and E if the data to be disclosed includes information on controlled substances dispensed by a narcotic treatment program for use to treat substance use disorder.</w:t>
      </w:r>
    </w:p>
    <w:p>
      <w:pPr>
        <w:pStyle w:val="kar_subsection"/>
      </w:pPr>
      <w:r>
        <w:t xml:space="preserve">(2)</w:t>
      </w:r>
      <w:r>
        <w:t xml:space="preserve"> </w:t>
      </w:r>
      <w:r>
        <w:t xml:space="preserve">As a condition precedent to the disclosure of data or a report pursuant to KRS 218A.202(3),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branch.</w:t>
      </w:r>
    </w:p>
    <w:p>
      <w:pPr>
        <w:pStyle w:val="kar_subsection"/>
      </w:pPr>
      <w:r>
        <w:t xml:space="preserve">(3)</w:t>
      </w:r>
      <w:r>
        <w:t xml:space="preserve"> </w:t>
      </w:r>
      <w:r>
        <w:t xml:space="preserve"> </w:t>
      </w:r>
    </w:p>
    <w:p>
      <w:pPr>
        <w:pStyle w:val="kar_paragraph"/>
      </w:pPr>
      <w:r>
        <w:t xml:space="preserve">(a)</w:t>
      </w:r>
      <w:r>
        <w:t xml:space="preserve"> </w:t>
      </w:r>
      <w:r>
        <w:t xml:space="preserve">An individual authorized to receive data under KRS 218A.202(3) shall not provide the data to any other entity except:</w:t>
      </w:r>
    </w:p>
    <w:p>
      <w:pPr>
        <w:pStyle w:val="kar_subparagraph"/>
      </w:pPr>
      <w:r>
        <w:t xml:space="preserve">1.</w:t>
      </w:r>
      <w:r>
        <w:t xml:space="preserve"> </w:t>
      </w:r>
      <w:r>
        <w:t xml:space="preserve">As provided in KRS 218A.202(8); and</w:t>
      </w:r>
    </w:p>
    <w:p>
      <w:pPr>
        <w:pStyle w:val="kar_subparagraph"/>
      </w:pPr>
      <w:r>
        <w:t xml:space="preserve">2.</w:t>
      </w:r>
      <w:r>
        <w:t xml:space="preserve"> </w:t>
      </w:r>
      <w:r>
        <w:t xml:space="preserve">For substance use disorder treatment data, as provided in 42 C.F.R. 2.32; or</w:t>
      </w:r>
    </w:p>
    <w:p>
      <w:pPr>
        <w:pStyle w:val="kar_paragraph"/>
      </w:pPr>
      <w:r>
        <w:t xml:space="preserve">(b)</w:t>
      </w:r>
      <w:r>
        <w:t xml:space="preserve"> </w:t>
      </w:r>
      <w:r>
        <w:t xml:space="preserve">As provided in paragraph (c) of this subsection.</w:t>
      </w:r>
    </w:p>
    <w:p>
      <w:pPr>
        <w:pStyle w:val="kar_paragraph"/>
      </w:pPr>
      <w:r>
        <w:t xml:space="preserve">(c)</w:t>
      </w:r>
      <w:r>
        <w:t xml:space="preserve"> </w:t>
      </w:r>
      <w:r>
        <w:t xml:space="preserve">In addition to the purposes authorized under KRS 218A.202(3), and pursuant to KRS 218A.205(2)(a) and (6), a practitioner or pharmacist who obtains KASPER data or a report under KRS 218A.202(8).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"KASPER Report Request for Law Enforcement and Licensure Boards", Form DCB-20L, October 2022, is incorporated by reference.</w:t>
      </w:r>
    </w:p>
    <w:p>
      <w:pPr>
        <w:pStyle w:val="kar_subsection"/>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 This material may also be viewed on the Office of Inspector General's Web site at: https://chfs.ky.gov/agencies/os/oig/dai/deppb/Pages/kasper.aspx.</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12.</w:t>
      </w:r>
      <w:r>
        <w:t xml:space="preserve"> </w:t>
      </w:r>
      <w:r>
        <w:t xml:space="preserve">This administrative regulation was found deficient by the Administrative Regulation Review Subcommittee on March 9,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7f45904ab4ff5" /><Relationship Type="http://schemas.openxmlformats.org/officeDocument/2006/relationships/settings" Target="/word/settings.xml" Id="R845dbb251edd4f99" /></Relationships>
</file>