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a5bcb0b7cf482e"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2:051.</w:t>
      </w:r>
      <w:r>
        <w:t xml:space="preserve"> </w:t>
      </w:r>
      <w:r>
        <w:t xml:space="preserve">Manufacturing conditions.</w:t>
      </w:r>
    </w:p>
    <w:p>
      <w:pPr>
        <w:pStyle w:val="kar_markup_metadata"/>
      </w:pPr>
      <w:r>
        <w:t xml:space="preserve">RELATES TO: </w:t>
      </w:r>
      <w:r>
        <w:t xml:space="preserve">KRS 250.501, 250.511, 250.541, 250.551, 250.581(1), 21 C.F.R. 225.1</w:t>
      </w:r>
      <w:r>
        <w:t xml:space="preserve">-</w:t>
      </w:r>
      <w:r>
        <w:t xml:space="preserve">225.202, 226.1</w:t>
      </w:r>
      <w:r>
        <w:t xml:space="preserve">-</w:t>
      </w:r>
      <w:r>
        <w:t xml:space="preserve">226.115</w:t>
      </w:r>
    </w:p>
    <w:p>
      <w:pPr>
        <w:pStyle w:val="kar_markup_metadata"/>
      </w:pPr>
      <w:r>
        <w:t xml:space="preserve">STATUTORY AUTHORITY: </w:t>
      </w:r>
      <w:r>
        <w:t xml:space="preserve">KRS 250.541</w:t>
      </w:r>
      <w:r>
        <w:rPr>
          <w:b/>
          <w:i/>
          <w:u w:val="single"/>
        </w:rPr>
        <w:t xml:space="preserve">(2)</w:t>
      </w:r>
      <w:r>
        <w:t xml:space="preserve">(c), 250.571(1), 21 C.F.R. 225.1</w:t>
      </w:r>
      <w:r>
        <w:t xml:space="preserve">-</w:t>
      </w:r>
      <w:r>
        <w:t xml:space="preserve">225.202, 226.1</w:t>
      </w:r>
      <w:r>
        <w:t xml:space="preserve">-</w:t>
      </w:r>
      <w:r>
        <w:t xml:space="preserve">226.115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250.541(2)(c) requires the promulgation of an administrative regulation that establishes the current good manufacturing practices for the manufacturing, processing, and packaging of commercial feed. This administrative regulation establishes current good manufacturing practices, hazard analysis, and risk-based preventive controls for facilities engaged in holding and distribution of animal feed.</w:t>
      </w:r>
    </w:p>
    <w:p>
      <w:pPr>
        <w:pStyle w:val="kar_section"/>
      </w:pPr>
      <w:r>
        <w:t xml:space="preserve">Section 1.</w:t>
      </w:r>
      <w:r>
        <w:t xml:space="preserve"> </w:t>
      </w:r>
      <w:r>
        <w:t xml:space="preserve">The current good manufacturing practices </w:t>
      </w:r>
      <w:r>
        <w:t>[</w:t>
      </w:r>
      <w:r>
        <w:rPr>
          <w:b/>
          <w:i/>
          <w:strike w:val="true"/>
        </w:rPr>
        <w:t xml:space="preserve">published in the Code of Federal Regulations </w:t>
      </w:r>
      <w:r>
        <w:t>]</w:t>
      </w:r>
      <w:r>
        <w:t xml:space="preserve">for Type B and Type C medicated feeds </w:t>
      </w:r>
      <w:r>
        <w:rPr>
          <w:b/>
          <w:i/>
          <w:u w:val="single"/>
        </w:rPr>
        <w:t xml:space="preserve">shall be </w:t>
      </w:r>
      <w:r>
        <w:t>[</w:t>
      </w:r>
      <w:r>
        <w:rPr>
          <w:strike w:val="true"/>
        </w:rPr>
        <w:t xml:space="preserve">are </w:t>
      </w:r>
      <w:r>
        <w:t>]</w:t>
      </w:r>
      <w:r>
        <w:t xml:space="preserve">governed by 21 C.F.R. 225.1 through 225.202</w:t>
      </w:r>
      <w:r>
        <w:t>[</w:t>
      </w:r>
      <w:r>
        <w:rPr>
          <w:b/>
          <w:i/>
          <w:strike w:val="true"/>
          <w:u w:val="single"/>
        </w:rPr>
        <w:t xml:space="preserve"> are adopted by reference</w:t>
      </w:r>
      <w:r>
        <w:t>]</w:t>
      </w:r>
      <w:r>
        <w:t xml:space="preserve">.</w:t>
      </w:r>
    </w:p>
    <w:p>
      <w:pPr>
        <w:pStyle w:val="kar_section"/>
      </w:pPr>
      <w:r>
        <w:t xml:space="preserve">Section 2.</w:t>
      </w:r>
      <w:r>
        <w:t xml:space="preserve"> </w:t>
      </w:r>
      <w:r>
        <w:t xml:space="preserve">The current good manufacturing practices </w:t>
      </w:r>
      <w:r>
        <w:t>[</w:t>
      </w:r>
      <w:r>
        <w:rPr>
          <w:b/>
          <w:i/>
          <w:strike w:val="true"/>
        </w:rPr>
        <w:t xml:space="preserve">published in the Code of Federal Regulations </w:t>
      </w:r>
      <w:r>
        <w:t>]</w:t>
      </w:r>
      <w:r>
        <w:t xml:space="preserve">for Type A medicated articles </w:t>
      </w:r>
      <w:r>
        <w:rPr>
          <w:b/>
          <w:i/>
          <w:u w:val="single"/>
        </w:rPr>
        <w:t xml:space="preserve">shall be </w:t>
      </w:r>
      <w:r>
        <w:t>[</w:t>
      </w:r>
      <w:r>
        <w:rPr>
          <w:strike w:val="true"/>
        </w:rPr>
        <w:t xml:space="preserve">are </w:t>
      </w:r>
      <w:r>
        <w:t>]</w:t>
      </w:r>
      <w:r>
        <w:t xml:space="preserve">governed by 21 C.F.R. 226.1 through 226.115</w:t>
      </w:r>
      <w:r>
        <w:t>[</w:t>
      </w:r>
      <w:r>
        <w:t>]</w:t>
      </w:r>
      <w:r>
        <w:t>[</w:t>
      </w:r>
      <w:r>
        <w:rPr>
          <w:b/>
          <w:i/>
          <w:strike w:val="true"/>
          <w:u w:val="single"/>
        </w:rPr>
        <w:t xml:space="preserve">are adopted by reference</w:t>
      </w:r>
      <w:r>
        <w:t>]</w:t>
      </w:r>
      <w:r>
        <w:t xml:space="preserve">.</w:t>
      </w:r>
    </w:p>
    <w:p>
      <w:pPr>
        <w:pStyle w:val="kar_section"/>
      </w:pPr>
      <w:r>
        <w:t xml:space="preserve">Section 3.</w:t>
      </w:r>
      <w:r>
        <w:t xml:space="preserve"> </w:t>
      </w:r>
      <w:r>
        <w:t xml:space="preserve">The current good manufacturing practices, hazard analysis, and risk-based preventive controls for food for animals </w:t>
      </w:r>
      <w:r>
        <w:t>[</w:t>
      </w:r>
      <w:r>
        <w:rPr>
          <w:b/>
          <w:i/>
          <w:strike w:val="true"/>
        </w:rPr>
        <w:t xml:space="preserve">published in the Code of Federal Regulations </w:t>
      </w:r>
      <w:r>
        <w:t>]</w:t>
      </w:r>
      <w:r>
        <w:t xml:space="preserve">for facilities engaged in the holding and distribution of animal food </w:t>
      </w:r>
      <w:r>
        <w:rPr>
          <w:b/>
          <w:i/>
          <w:u w:val="single"/>
        </w:rPr>
        <w:t xml:space="preserve">shall be </w:t>
      </w:r>
      <w:r>
        <w:t>[</w:t>
      </w:r>
      <w:r>
        <w:rPr>
          <w:strike w:val="true"/>
        </w:rPr>
        <w:t xml:space="preserve">are </w:t>
      </w:r>
      <w:r>
        <w:t>]</w:t>
      </w:r>
      <w:r>
        <w:t xml:space="preserve">governed by 21 C.F.R. 507.1 through 507.215</w:t>
      </w:r>
      <w:r>
        <w:t>[</w:t>
      </w:r>
      <w:r>
        <w:t>]</w:t>
      </w:r>
      <w:r>
        <w:t>[</w:t>
      </w:r>
      <w:r>
        <w:rPr>
          <w:b/>
          <w:i/>
          <w:strike w:val="true"/>
          <w:u w:val="single"/>
        </w:rPr>
        <w:t xml:space="preserve">are adopted by reference</w:t>
      </w:r>
      <w:r>
        <w:t>]</w:t>
      </w:r>
      <w:r>
        <w:t xml:space="preserv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c504b105d4af6" /><Relationship Type="http://schemas.openxmlformats.org/officeDocument/2006/relationships/settings" Target="/word/settings.xml" Id="R8daa573a04d14bb2" /></Relationships>
</file>