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a4ac691b694e93" /></Relationships>
</file>

<file path=word/document.xml><?xml version="1.0" encoding="utf-8"?>
<w:document xmlns:w="http://schemas.openxmlformats.org/wordprocessingml/2006/main">
  <w:body>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250.541, 250.551(1),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the artificial color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pursuant to an application approved by the Food and Drug Administration under 21 U.S.C. 360(b).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If a drug is included in a pet food or specialty pet food, the medicated labeling format recommended by the Association of American Feed Control Officials (AAFCO), incorporated by reference in 12 KAR 3:012, Official Publication shall be used to ensure that adequate labeling is provided.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530ed83eb41df" /><Relationship Type="http://schemas.openxmlformats.org/officeDocument/2006/relationships/settings" Target="/word/settings.xml" Id="R5b83f209020b490f" /></Relationships>
</file>