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6beb5ff86a4d4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 21 C.F.R. 1301.76(b)</w:t>
      </w:r>
    </w:p>
    <w:p>
      <w:pPr>
        <w:pStyle w:val="kar_markup_metadata"/>
      </w:pPr>
      <w:r>
        <w:t xml:space="preserve">STATUTORY AUTHORITY: </w:t>
      </w:r>
      <w:r>
        <w:t xml:space="preserve">KRS 315.020(1), 315.0351, 315.191(1)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as incorporated by reference in 201 KAR 2:050</w:t>
      </w:r>
      <w:r>
        <w:rPr>
          <w:b/>
          <w:i/>
          <w:u w:val="single"/>
        </w:rPr>
        <w:t xml:space="preserve"> and 201 KAR 2:465</w:t>
      </w:r>
      <w:r>
        <w:t xml:space="preserve">, and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w:t>
      </w:r>
      <w:r>
        <w:rPr>
          <w:b/>
          <w:i/>
          <w:u w:val="single"/>
        </w:rPr>
        <w:t xml:space="preserve">, including:</w:t>
      </w:r>
      <w:r>
        <w:t>[</w:t>
      </w:r>
      <w:r>
        <w:rPr>
          <w:b/>
          <w:i/>
          <w:strike w:val="true"/>
        </w:rPr>
        <w:t xml:space="preserve">,</w:t>
      </w:r>
      <w:r>
        <w:t>]</w:t>
      </w:r>
    </w:p>
    <w:p>
      <w:pPr>
        <w:pStyle w:val="kar_subparagraph"/>
      </w:pPr>
      <w:r>
        <w:rPr>
          <w:b/>
          <w:i/>
          <w:u w:val="single"/>
        </w:rPr>
        <w:t xml:space="preserve">1.</w:t>
      </w:r>
      <w:r>
        <w:t xml:space="preserve"> </w:t>
      </w:r>
      <w:r>
        <w:rPr>
          <w:b/>
          <w:i/>
          <w:u w:val="single"/>
        </w:rPr>
        <w:t xml:space="preserve">Pursuing</w:t>
      </w:r>
      <w:r>
        <w:t>[</w:t>
      </w:r>
      <w:r>
        <w:rPr>
          <w:b/>
          <w:strike w:val="true"/>
        </w:rPr>
        <w:t xml:space="preserve">pursue</w:t>
      </w:r>
      <w:r>
        <w:t>]</w:t>
      </w:r>
      <w:r>
        <w:t xml:space="preserve"> opportunities for improvement</w:t>
      </w:r>
      <w:r>
        <w:rPr>
          <w:b/>
          <w:i/>
          <w:u w:val="single"/>
        </w:rPr>
        <w:t xml:space="preserve">;</w:t>
      </w:r>
      <w:r>
        <w:t>[</w:t>
      </w:r>
      <w:r>
        <w:rPr>
          <w:b/>
          <w:i/>
          <w:strike w:val="true"/>
        </w:rPr>
        <w:t xml:space="preserve">,</w:t>
      </w:r>
      <w:r>
        <w:t>]</w:t>
      </w:r>
    </w:p>
    <w:p>
      <w:pPr>
        <w:pStyle w:val="kar_subparagraph"/>
      </w:pPr>
      <w:r>
        <w:rPr>
          <w:b/>
          <w:i/>
          <w:u w:val="single"/>
        </w:rPr>
        <w:t xml:space="preserve">2.</w:t>
      </w:r>
      <w:r>
        <w:t xml:space="preserve"> </w:t>
      </w:r>
      <w:r>
        <w:rPr>
          <w:b/>
          <w:i/>
          <w:u w:val="single"/>
        </w:rPr>
        <w:t xml:space="preserve">Resolving</w:t>
      </w:r>
      <w:r>
        <w:t>[</w:t>
      </w:r>
      <w:r>
        <w:rPr>
          <w:b/>
          <w:i/>
          <w:strike w:val="true"/>
        </w:rPr>
        <w:t xml:space="preserve">resolve</w:t>
      </w:r>
      <w:r>
        <w:t>]</w:t>
      </w:r>
      <w:r>
        <w:t xml:space="preserve"> identified problems as</w:t>
      </w:r>
      <w:r>
        <w:rPr>
          <w:b/>
          <w:i/>
          <w:u w:val="single"/>
        </w:rPr>
        <w:t xml:space="preserve"> those</w:t>
      </w:r>
      <w:r>
        <w:t xml:space="preserve"> may exist</w:t>
      </w:r>
      <w:r>
        <w:rPr>
          <w:b/>
          <w:i/>
          <w:u w:val="single"/>
        </w:rPr>
        <w:t xml:space="preserve">;</w:t>
      </w:r>
      <w:r>
        <w:t>[</w:t>
      </w:r>
      <w:r>
        <w:rPr>
          <w:b/>
          <w:i/>
          <w:strike w:val="true"/>
        </w:rPr>
        <w:t xml:space="preserve">,</w:t>
      </w:r>
      <w:r>
        <w:t>]</w:t>
      </w:r>
      <w:r>
        <w:t xml:space="preserve"> and</w:t>
      </w:r>
    </w:p>
    <w:p>
      <w:pPr>
        <w:pStyle w:val="kar_subparagraph"/>
      </w:pPr>
      <w:r>
        <w:rPr>
          <w:b/>
          <w:i/>
          <w:u w:val="single"/>
        </w:rPr>
        <w:t xml:space="preserve">3.</w:t>
      </w:r>
      <w:r>
        <w:t xml:space="preserve"> </w:t>
      </w:r>
      <w:r>
        <w:rPr>
          <w:b/>
          <w:i/>
          <w:u w:val="single"/>
        </w:rPr>
        <w:t xml:space="preserve">Detecting</w:t>
      </w:r>
      <w:r>
        <w:t>[</w:t>
      </w:r>
      <w:r>
        <w:rPr>
          <w:b/>
          <w:i/>
          <w:strike w:val="true"/>
        </w:rPr>
        <w:t xml:space="preserve">detect</w:t>
      </w:r>
      <w:r>
        <w:t>]</w:t>
      </w:r>
      <w:r>
        <w:t xml:space="preserve"> and </w:t>
      </w:r>
      <w:r>
        <w:rPr>
          <w:b/>
          <w:i/>
          <w:u w:val="single"/>
        </w:rPr>
        <w:t xml:space="preserve">preventing</w:t>
      </w:r>
      <w:r>
        <w:t>[</w:t>
      </w:r>
      <w:r>
        <w:rPr>
          <w:b/>
          <w:i/>
          <w:strike w:val="true"/>
        </w:rPr>
        <w:t xml:space="preserve">prevent</w:t>
      </w:r>
      <w:r>
        <w:t>]</w:t>
      </w:r>
      <w:r>
        <w:t xml:space="preserve">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rPr>
          <w:b/>
          <w:i/>
          <w:u w:val="single"/>
        </w:rPr>
        <w:t xml:space="preserve">Ensuring</w:t>
      </w:r>
      <w:r>
        <w:t>[</w:t>
      </w:r>
      <w:r>
        <w:rPr>
          <w:b/>
          <w:i/>
          <w:strike w:val="true"/>
        </w:rPr>
        <w:t xml:space="preserve">Assuring</w:t>
      </w:r>
      <w:r>
        <w:t>]</w:t>
      </w:r>
      <w:r>
        <w:t xml:space="preserve">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w:t>
      </w:r>
      <w:r>
        <w:t>[</w:t>
      </w:r>
      <w:r>
        <w:rPr>
          <w:b/>
          <w:i/>
          <w:strike w:val="true"/>
        </w:rPr>
        <w:t xml:space="preserve"> and</w:t>
      </w:r>
      <w:r>
        <w:t>]</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Administration as required by 21 C.F.R. 1301.76(b);</w:t>
      </w:r>
    </w:p>
    <w:p>
      <w:pPr>
        <w:pStyle w:val="kar_subparagraph"/>
      </w:pPr>
      <w:r>
        <w:t xml:space="preserve">2.</w:t>
      </w:r>
      <w:r>
        <w:t xml:space="preserve"> </w:t>
      </w:r>
      <w:r>
        <w:t xml:space="preserve">The Department of the Kentucky State Police as required by KRS 315.335;</w:t>
      </w:r>
    </w:p>
    <w:p>
      <w:pPr>
        <w:pStyle w:val="kar_subparagraph"/>
      </w:pPr>
      <w:r>
        <w:t xml:space="preserve">3.</w:t>
      </w:r>
      <w:r>
        <w:t xml:space="preserve"> </w:t>
      </w:r>
      <w:r>
        <w:t xml:space="preserve">The board by providing a copy to the board of each report submitted; and</w:t>
      </w:r>
    </w:p>
    <w:p>
      <w:pPr>
        <w:pStyle w:val="kar_subparagraph"/>
      </w:pPr>
      <w:r>
        <w:t xml:space="preserve">4.</w:t>
      </w:r>
      <w:r>
        <w:t xml:space="preserve"> </w:t>
      </w:r>
      <w:r>
        <w:t xml:space="preserve">The Cabinet for Health and Family Services</w:t>
      </w:r>
      <w:r>
        <w:rPr>
          <w:b/>
          <w:i/>
          <w:u w:val="single"/>
        </w:rPr>
        <w:t xml:space="preserve">;</w:t>
      </w:r>
      <w:r>
        <w:t>[</w:t>
      </w:r>
      <w:r>
        <w:rPr>
          <w:b/>
          <w:i/>
          <w:strike w:val="true"/>
        </w:rPr>
        <w:t xml:space="preserve">.</w:t>
      </w:r>
      <w:r>
        <w:t>]</w:t>
      </w:r>
    </w:p>
    <w:p>
      <w:pPr>
        <w:pStyle w:val="kar_paragraph"/>
      </w:pPr>
      <w:r>
        <w:rPr>
          <w:u w:val="single"/>
        </w:rPr>
        <w:t xml:space="preserve">(h)</w:t>
      </w:r>
      <w:r>
        <w:t xml:space="preserve"> </w:t>
      </w:r>
      <w:r>
        <w:rPr>
          <w:u w:val="single"/>
        </w:rPr>
        <w:t xml:space="preserve">Ensuring appropriate equipment is available and in working order</w:t>
      </w:r>
      <w:r>
        <w:rPr>
          <w:b/>
          <w:i/>
          <w:u w:val="single"/>
        </w:rPr>
        <w:t xml:space="preserve"> and allowing</w:t>
      </w:r>
      <w:r>
        <w:t>[</w:t>
      </w:r>
      <w:r>
        <w:rPr>
          <w:b/>
          <w:i/>
          <w:strike w:val="true"/>
          <w:u w:val="single"/>
        </w:rPr>
        <w:t xml:space="preserve">to allow</w:t>
      </w:r>
      <w:r>
        <w:t>]</w:t>
      </w:r>
      <w:r>
        <w:rPr>
          <w:u w:val="single"/>
        </w:rPr>
        <w:t xml:space="preserve"> within the pharmacy area</w:t>
      </w:r>
      <w:r>
        <w:rPr>
          <w:b/>
          <w:i/>
          <w:u w:val="single"/>
        </w:rPr>
        <w:t xml:space="preserve"> equipment</w:t>
      </w:r>
      <w:r>
        <w:t>[</w:t>
      </w:r>
      <w:r>
        <w:rPr>
          <w:b/>
          <w:i/>
          <w:strike w:val="true"/>
          <w:u w:val="single"/>
        </w:rPr>
        <w:t xml:space="preserve">.</w:t>
      </w:r>
      <w:r>
        <w:t>]</w:t>
      </w:r>
      <w:r>
        <w:rPr>
          <w:u w:val="single"/>
        </w:rPr>
        <w:t xml:space="preserve"> such as the following:</w:t>
      </w:r>
    </w:p>
    <w:p>
      <w:pPr>
        <w:pStyle w:val="kar_subparagraph"/>
      </w:pPr>
      <w:r>
        <w:rPr>
          <w:u w:val="single"/>
        </w:rPr>
        <w:t xml:space="preserve">1.</w:t>
      </w:r>
      <w:r>
        <w:t xml:space="preserve"> </w:t>
      </w:r>
      <w:r>
        <w:rPr>
          <w:u w:val="single"/>
        </w:rPr>
        <w:t xml:space="preserve">A prescription balance with sensitivity not less than that of a Class 3 balance;</w:t>
      </w:r>
    </w:p>
    <w:p>
      <w:pPr>
        <w:pStyle w:val="kar_subparagraph"/>
      </w:pPr>
      <w:r>
        <w:rPr>
          <w:u w:val="single"/>
        </w:rPr>
        <w:t xml:space="preserve">2.</w:t>
      </w:r>
      <w:r>
        <w:t xml:space="preserve"> </w:t>
      </w:r>
      <w:r>
        <w:rPr>
          <w:u w:val="single"/>
        </w:rPr>
        <w:t xml:space="preserve">Weights-metric or apothecary-complete set;</w:t>
      </w:r>
    </w:p>
    <w:p>
      <w:pPr>
        <w:pStyle w:val="kar_subparagraph"/>
      </w:pPr>
      <w:r>
        <w:rPr>
          <w:u w:val="single"/>
        </w:rPr>
        <w:t xml:space="preserve">3.</w:t>
      </w:r>
      <w:r>
        <w:t xml:space="preserve"> </w:t>
      </w:r>
      <w:r>
        <w:rPr>
          <w:u w:val="single"/>
        </w:rPr>
        <w:t xml:space="preserve">Graduates capable of accurately measuring from one (1) ml to 250 ml;</w:t>
      </w:r>
    </w:p>
    <w:p>
      <w:pPr>
        <w:pStyle w:val="kar_subparagraph"/>
      </w:pPr>
      <w:r>
        <w:rPr>
          <w:u w:val="single"/>
        </w:rPr>
        <w:t xml:space="preserve">4.</w:t>
      </w:r>
      <w:r>
        <w:t xml:space="preserve"> </w:t>
      </w:r>
      <w:r>
        <w:rPr>
          <w:u w:val="single"/>
        </w:rPr>
        <w:t xml:space="preserve">Mortars and pestles-glass, porcelain, or Wedgewood;</w:t>
      </w:r>
    </w:p>
    <w:p>
      <w:pPr>
        <w:pStyle w:val="kar_subparagraph"/>
      </w:pPr>
      <w:r>
        <w:rPr>
          <w:u w:val="single"/>
        </w:rPr>
        <w:t xml:space="preserve">5.</w:t>
      </w:r>
      <w:r>
        <w:t xml:space="preserve"> </w:t>
      </w:r>
      <w:r>
        <w:rPr>
          <w:u w:val="single"/>
        </w:rPr>
        <w:t xml:space="preserve">Spatulas-steel and nonmetallic;</w:t>
      </w:r>
    </w:p>
    <w:p>
      <w:pPr>
        <w:pStyle w:val="kar_subparagraph"/>
      </w:pPr>
      <w:r>
        <w:rPr>
          <w:u w:val="single"/>
        </w:rPr>
        <w:t xml:space="preserve">6.</w:t>
      </w:r>
      <w:r>
        <w:t xml:space="preserve"> </w:t>
      </w:r>
      <w:r>
        <w:rPr>
          <w:u w:val="single"/>
        </w:rPr>
        <w:t xml:space="preserve">A heating unit;</w:t>
      </w:r>
    </w:p>
    <w:p>
      <w:pPr>
        <w:pStyle w:val="kar_subparagraph"/>
      </w:pPr>
      <w:r>
        <w:rPr>
          <w:u w:val="single"/>
        </w:rPr>
        <w:t xml:space="preserve">7.</w:t>
      </w:r>
      <w:r>
        <w:t xml:space="preserve"> </w:t>
      </w:r>
      <w:r>
        <w:rPr>
          <w:u w:val="single"/>
        </w:rPr>
        <w:t xml:space="preserve">Suitable refrigeration unit for proper storage of drugs; and</w:t>
      </w:r>
    </w:p>
    <w:p>
      <w:pPr>
        <w:pStyle w:val="kar_subparagraph"/>
      </w:pPr>
      <w:r>
        <w:rPr>
          <w:u w:val="single"/>
        </w:rPr>
        <w:t xml:space="preserve">8.</w:t>
      </w:r>
      <w:r>
        <w:t xml:space="preserve"> </w:t>
      </w:r>
      <w:r>
        <w:rPr>
          <w:u w:val="single"/>
        </w:rPr>
        <w:t xml:space="preserve">Ointment slab or ointment papers</w:t>
      </w:r>
      <w:r>
        <w:rPr>
          <w:b/>
          <w:i/>
          <w:u w:val="single"/>
        </w:rPr>
        <w:t xml:space="preserve">; and</w:t>
      </w:r>
    </w:p>
    <w:p>
      <w:pPr>
        <w:pStyle w:val="kar_paragraph"/>
      </w:pPr>
      <w:r>
        <w:rPr>
          <w:b/>
          <w:i/>
          <w:u w:val="single"/>
        </w:rPr>
        <w:t xml:space="preserve">(i)</w:t>
      </w:r>
      <w:r>
        <w:t xml:space="preserve"> </w:t>
      </w:r>
      <w:r>
        <w:rPr>
          <w:b/>
          <w:i/>
          <w:u w:val="single"/>
        </w:rPr>
        <w:t xml:space="preserve">Ensuring proper reference material as required by 201 KAR 2:090 is made available to pharmacy employees</w:t>
      </w:r>
      <w:r>
        <w:rPr>
          <w:u w:val="single"/>
        </w:rPr>
        <w:t xml:space="preserv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08c22ac3b04585" /><Relationship Type="http://schemas.openxmlformats.org/officeDocument/2006/relationships/settings" Target="/word/settings.xml" Id="R0b58be0b0ff347ae" /></Relationships>
</file>