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4669c5e20cb4e2e"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Alcoholic Beverage Control</w:t>
      </w:r>
    </w:p>
    <w:p>
      <w:pPr>
        <w:pStyle w:val="kar_markup_header"/>
        <w:ind w:firstLine="0"/>
      </w:pPr>
      <w:r>
        <w:t>(Amended After Comments)</w:t>
      </w:r>
    </w:p>
    <w:p>
      <w:pPr>
        <w:pStyle w:val="kar_citation"/>
      </w:pPr>
      <w:r>
        <w:t>804 KAR 13:030.</w:t>
      </w:r>
      <w:r>
        <w:t xml:space="preserve"> </w:t>
      </w:r>
      <w:r>
        <w:t xml:space="preserve">Causes for denial of tobacco, nicotine, or vapor product license</w:t>
      </w:r>
    </w:p>
    <w:p>
      <w:pPr>
        <w:pStyle w:val="kar_markup_metadata"/>
      </w:pPr>
      <w:r>
        <w:t xml:space="preserve">RELATES TO: </w:t>
      </w:r>
      <w:r>
        <w:t xml:space="preserve">KRS 438.3063, 438.3067</w:t>
      </w:r>
    </w:p>
    <w:p>
      <w:pPr>
        <w:pStyle w:val="kar_markup_metadata"/>
      </w:pPr>
      <w:r>
        <w:t xml:space="preserve">STATUTORY AUTHORITY: </w:t>
      </w:r>
      <w:r>
        <w:t xml:space="preserve">KRS 438.340, 438.3055</w:t>
      </w:r>
    </w:p>
    <w:p>
      <w:pPr>
        <w:pStyle w:val="kar_markup_metadata"/>
      </w:pPr>
      <w:r>
        <w:t xml:space="preserve">NECESSITY, FUNCTION, AND CONFORMITY: </w:t>
      </w:r>
      <w:r>
        <w:t xml:space="preserve">KRS 438.340 authorizes the department to promulgate administrative regulations as necessary to implement and carry out the provisions of KRS 438.305 to 438.350. KRS 438.3067 requires the commissioner to approve or deny every application for a tobacco, nicotine, or vapor product license and to notify the applicant of the reasons for the denial. This administrative regulation provides the reasons for which the commissioner shall or may deny an application for a tobacco, nicotine, or vapor product license.</w:t>
      </w:r>
    </w:p>
    <w:p>
      <w:pPr>
        <w:pStyle w:val="kar_section"/>
      </w:pPr>
      <w:r>
        <w:t xml:space="preserve">Section 1.</w:t>
      </w:r>
      <w:r>
        <w:t xml:space="preserve"> </w:t>
      </w:r>
      <w:r>
        <w:t xml:space="preserve">An application for a tobacco, nicotine, or vapor product license shall be denied if:</w:t>
      </w:r>
    </w:p>
    <w:p>
      <w:pPr>
        <w:pStyle w:val="kar_subsection"/>
      </w:pPr>
      <w:r>
        <w:t xml:space="preserve">(1)</w:t>
      </w:r>
      <w:r>
        <w:t xml:space="preserve"> </w:t>
      </w:r>
      <w:r>
        <w:t xml:space="preserve">The applicant or the premises for which the tobacco, nicotine, or vapor product license is sought does not comply fully with all applicable statutes under KRS 438.305 </w:t>
      </w:r>
      <w:r>
        <w:rPr>
          <w:b/>
          <w:u w:val="single"/>
        </w:rPr>
        <w:t xml:space="preserve">to</w:t>
      </w:r>
      <w:r>
        <w:t>[</w:t>
      </w:r>
      <w:r>
        <w:rPr>
          <w:b/>
          <w:strike w:val="true"/>
        </w:rPr>
        <w:t xml:space="preserve">and</w:t>
      </w:r>
      <w:r>
        <w:t>]</w:t>
      </w:r>
      <w:r>
        <w:t xml:space="preserve"> 438.350, and with the administrative regulations promulgated under 804 KAR Chapter 13;</w:t>
      </w:r>
    </w:p>
    <w:p>
      <w:pPr>
        <w:pStyle w:val="kar_subsection"/>
      </w:pPr>
      <w:r>
        <w:t xml:space="preserve">(2)</w:t>
      </w:r>
      <w:r>
        <w:t xml:space="preserve"> </w:t>
      </w:r>
      <w:r>
        <w:t>[</w:t>
      </w:r>
      <w:r>
        <w:rPr>
          <w:b/>
          <w:strike w:val="true"/>
        </w:rPr>
        <w:t xml:space="preserve">The applicant has engaged in any activity for which revocation of a tobacco, nicotine, or vapor product license would be authorized;</w:t>
      </w:r>
      <w:r>
        <w:t>]</w:t>
      </w:r>
    </w:p>
    <w:p>
      <w:pPr>
        <w:pStyle w:val="kar_subsection"/>
      </w:pPr>
      <w:r>
        <w:t>[</w:t>
      </w:r>
      <w:r>
        <w:rPr>
          <w:b/>
          <w:strike w:val="true"/>
        </w:rPr>
        <w:t xml:space="preserve">(3)</w:t>
      </w:r>
      <w:r>
        <w:t>]</w:t>
      </w:r>
      <w:r>
        <w:t xml:space="preserve"> </w:t>
      </w:r>
      <w:r>
        <w:t xml:space="preserve">The applicant has </w:t>
      </w:r>
      <w:r>
        <w:rPr>
          <w:b/>
          <w:u w:val="single"/>
        </w:rPr>
        <w:t xml:space="preserve">knowingly </w:t>
      </w:r>
      <w:r>
        <w:t xml:space="preserve">made any false material statement in its application; or</w:t>
      </w:r>
    </w:p>
    <w:p>
      <w:pPr>
        <w:pStyle w:val="kar_subsection"/>
      </w:pPr>
      <w:r>
        <w:rPr>
          <w:b/>
          <w:u w:val="single"/>
        </w:rPr>
        <w:t xml:space="preserve">(3)</w:t>
      </w:r>
      <w:r>
        <w:t>[</w:t>
      </w:r>
      <w:r>
        <w:rPr>
          <w:b/>
          <w:strike w:val="true"/>
        </w:rPr>
        <w:t xml:space="preserve">(4)</w:t>
      </w:r>
      <w:r>
        <w:t>]</w:t>
      </w:r>
      <w:r>
        <w:t xml:space="preserve"> </w:t>
      </w:r>
      <w:r>
        <w:t xml:space="preserve">The applicant fails to pay the tobacco, nicotine, or vapor product license fee established in KRS 438.3063(4).</w:t>
      </w:r>
    </w:p>
    <w:p>
      <w:pPr>
        <w:pStyle w:val="kar_section"/>
      </w:pPr>
      <w:r>
        <w:t xml:space="preserve">Section 2.</w:t>
      </w:r>
      <w:r>
        <w:t xml:space="preserve"> </w:t>
      </w:r>
      <w:r>
        <w:t xml:space="preserve">An application for a tobacco, nicotine, or vapor product license may be denied for any reason that the commissioner, in the exercise of the commissioner's sound discretion, deems sufficient. Among those factors that the commissioner shall consider in the exercise of this discretion are:</w:t>
      </w:r>
    </w:p>
    <w:p>
      <w:pPr>
        <w:pStyle w:val="kar_subsection"/>
      </w:pPr>
      <w:r>
        <w:t xml:space="preserve">(1)</w:t>
      </w:r>
      <w:r>
        <w:t xml:space="preserve"> </w:t>
      </w:r>
      <w:r>
        <w:t xml:space="preserve">Public sentiment in the area;</w:t>
      </w:r>
    </w:p>
    <w:p>
      <w:pPr>
        <w:pStyle w:val="kar_subsection"/>
      </w:pPr>
      <w:r>
        <w:t xml:space="preserve">(2)</w:t>
      </w:r>
      <w:r>
        <w:t xml:space="preserve"> </w:t>
      </w:r>
      <w:r>
        <w:t xml:space="preserve">Number of licensed outlets in the area;</w:t>
      </w:r>
    </w:p>
    <w:p>
      <w:pPr>
        <w:pStyle w:val="kar_subsection"/>
      </w:pPr>
      <w:r>
        <w:t xml:space="preserve">(3)</w:t>
      </w:r>
      <w:r>
        <w:t xml:space="preserve"> </w:t>
      </w:r>
      <w:r>
        <w:t xml:space="preserve">Potential for future growth;</w:t>
      </w:r>
    </w:p>
    <w:p>
      <w:pPr>
        <w:pStyle w:val="kar_subsection"/>
      </w:pPr>
      <w:r>
        <w:t xml:space="preserve">(4)</w:t>
      </w:r>
      <w:r>
        <w:t xml:space="preserve"> </w:t>
      </w:r>
      <w:r>
        <w:t xml:space="preserve">Type of area involved; and</w:t>
      </w:r>
    </w:p>
    <w:p>
      <w:pPr>
        <w:pStyle w:val="kar_subsection"/>
      </w:pPr>
      <w:r>
        <w:t xml:space="preserve">(5)</w:t>
      </w:r>
      <w:r>
        <w:t xml:space="preserve"> </w:t>
      </w:r>
      <w:r>
        <w:t xml:space="preserve">Financial potential of the area.</w:t>
      </w:r>
    </w:p>
    <w:p>
      <w:pPr>
        <w:pStyle w:val="kar_section"/>
      </w:pPr>
      <w:r>
        <w:rPr>
          <w:b/>
          <w:i/>
          <w:u w:val="single"/>
        </w:rPr>
        <w:t xml:space="preserve">Section 3.</w:t>
      </w:r>
      <w:r>
        <w:t xml:space="preserve"> </w:t>
      </w:r>
      <w:r>
        <w:rPr>
          <w:b/>
          <w:i/>
          <w:u w:val="single"/>
        </w:rPr>
        <w:t xml:space="preserve">This administrative regulation was found deficient by the Administrative Regulation Review Subcommittee on March 9, 2026.</w:t>
      </w:r>
    </w:p>
    <w:p>
      <w:pPr>
        <w:pStyle w:val="kar_signature"/>
      </w:pPr>
      <w:r>
        <w:t xml:space="preserve">SCOTTY TRACY, Commissioner</w:t>
      </w:r>
    </w:p>
    <w:p>
      <w:pPr>
        <w:pStyle w:val="kar_signature"/>
      </w:pPr>
      <w:r>
        <w:t xml:space="preserve">RAY PERRY, Secretary</w:t>
      </w:r>
    </w:p>
    <w:p>
      <w:pPr>
        <w:pStyle w:val="kar_normal"/>
      </w:pPr>
      <w:r>
        <w:t xml:space="preserve"/>
      </w:r>
    </w:p>
    <w:p>
      <w:pPr>
        <w:pStyle w:val="kar_approved_by"/>
      </w:pPr>
      <w:r>
        <w:t xml:space="preserve">APPROVED BY AGENCY: March 13, 2026</w:t>
      </w:r>
    </w:p>
    <w:p>
      <w:pPr>
        <w:pStyle w:val="kar_filed"/>
      </w:pPr>
      <w:r>
        <w:t xml:space="preserve">FILED WITH LRC: March 13, 2026 at 11:50 a.m.</w:t>
      </w:r>
    </w:p>
    <w:p>
      <w:pPr>
        <w:pStyle w:val="kar_normal"/>
      </w:pPr>
      <w:r>
        <w:t xml:space="preserve"/>
      </w:r>
    </w:p>
    <w:p>
      <w:pPr>
        <w:pStyle w:val="kar_form_name"/>
      </w:pPr>
      <w:r>
        <w:t xml:space="preserve">REGULATORY IMPACT ANALYSIS AND TIERING STATEMENT </w:t>
      </w:r>
    </w:p>
    <w:p>
      <w:pPr>
        <w:pStyle w:val="kar_normal"/>
        <w:ind w:left="0"/>
      </w:pPr>
      <w:r>
        <w:t xml:space="preserve">Contact Person:</w:t>
      </w:r>
      <w:r>
        <w:t xml:space="preserve"> Joshua Newton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provides the reasons for which the commissioner shall or may deny an application for a tobacco, nicotine, or vapor product license.</w:t>
      </w:r>
    </w:p>
    <w:p>
      <w:pPr>
        <w:pStyle w:val="kar_normal"/>
        <w:ind w:left="576"/>
      </w:pPr>
      <w:r>
        <w:t xml:space="preserve">(b) The necessity of this administrative regulation:</w:t>
      </w:r>
    </w:p>
    <w:p>
      <w:pPr>
        <w:pStyle w:val="kar_normal"/>
        <w:ind w:left="720"/>
      </w:pPr>
      <w:r>
        <w:t xml:space="preserve">KRS 438.3067 requires the commissioner to approve or deny every application for a tobacco, nicotine, or vapor product license and to notify the applicant of the reasons for the denial. This regulation outlines the reasons an application may or shall be denied and is necessary to provide information to potential applicants.</w:t>
      </w:r>
    </w:p>
    <w:p>
      <w:pPr>
        <w:pStyle w:val="kar_normal"/>
        <w:ind w:left="576"/>
      </w:pPr>
      <w:r>
        <w:t xml:space="preserve">(c) How this administrative regulation conforms to the content of the authorizing statutes:</w:t>
      </w:r>
    </w:p>
    <w:p>
      <w:pPr>
        <w:pStyle w:val="kar_normal"/>
        <w:ind w:left="720"/>
      </w:pPr>
      <w:r>
        <w:t xml:space="preserve">KRS 438.340 authorizes the department to promulgate administrative regulations as necessary to implement and carry out the provisions of KRS 438.305 to 438.350. KRS 438.3067 requires the commissioner to approve or deny every application for a tobacco, nicotine, or vapor product license and to notify the applicant of the reasons for the denial. This administrative regulation provides the reasons for which the commissioner shall or may deny an application for a tobacco, nicotine, or vapor product license.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outlines for potential applicants the specific reasons that their application for a tobacco, nicotine or vapor product license may or shall be denied.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576"/>
      </w:pPr>
      <w:r>
        <w:t xml:space="preserve">(b) The necessity of the amendment to this administrative regulation:</w:t>
      </w:r>
    </w:p>
    <w:p>
      <w:pPr>
        <w:pStyle w:val="kar_normal"/>
        <w:ind w:left="576"/>
      </w:pPr>
      <w:r>
        <w:t xml:space="preserve">(c) How the amendment conforms to the content of the authorizing statutes:</w:t>
      </w:r>
    </w:p>
    <w:p>
      <w:pPr>
        <w:pStyle w:val="kar_normal"/>
        <w:ind w:left="576"/>
      </w:pPr>
      <w:r>
        <w:t xml:space="preserve">(d) How the amendment will assist in the effective administration of the statutes: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It is estimated that there are approximately 7,000 retailers of tobacco, nicotine or vapor products in the Commonwealth of Kentucky. These businesses include gas stations, grocery stores, and stand alone vape/tobacco businesses. All businesses that want to sell tobacco, nicotine, or vapor products, must have a license to sell any of those products as of January 1, 2026.</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Kentucky businesses must obtain a license to sell tobacco, nicotine, or vapor products by January 1, 2026. This regulation outlines for those business owners the reasons an application for the license may be denied. This regulation does not require the entities listed to do anything.</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regulation does not impose costs on any entity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Entities wishing to sell tobacco, nicotine, or vapor products will benefit from this regulation as it specifically outlines the reasons an application for a license may be denied. This will allow an applicant to know in advance, if they are not qualified for the license.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specific cost associated with implementation of this particular regulation. However, to implement and enforce the licensing and retail sales requirements contemplated by 2025 Ky. Acts Ch. 78 (SB 100), the department will be required to employ 20 additional staff members, resulting in an initial cost of $2,750,000.00 and an annual increased cost of $2,250,000.00 to the department.</w:t>
      </w:r>
    </w:p>
    <w:p>
      <w:pPr>
        <w:pStyle w:val="kar_normal"/>
        <w:ind w:left="576"/>
      </w:pPr>
      <w:r>
        <w:t xml:space="preserve">(b) On a continuing basis:</w:t>
      </w:r>
    </w:p>
    <w:p>
      <w:pPr>
        <w:pStyle w:val="kar_normal"/>
        <w:ind w:left="720"/>
      </w:pPr>
      <w:r>
        <w:t xml:space="preserve">See increased annual cost referenced above.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implementation and enforcement of the licensing and retail sales requirements contemplated by 2025 Ky. Acts Ch. 78 (SB 100) will be funded through the collection of licensure fees and civil penalty fines.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SB 100 established license fees and fines that will be necessary to implement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any fees directly or indirectly.</w:t>
      </w:r>
    </w:p>
    <w:p>
      <w:pPr>
        <w:pStyle w:val="kar_normal"/>
        <w:ind w:left="288"/>
      </w:pPr>
      <w:r>
        <w:t xml:space="preserve">(9) TIERING: Is tiering applied?</w:t>
      </w:r>
    </w:p>
    <w:p>
      <w:pPr>
        <w:pStyle w:val="kar_normal"/>
        <w:ind w:left="432"/>
      </w:pPr>
      <w:r>
        <w:t xml:space="preserve">Tiering is not applied. This regulation only informs applicants of the reasons their license application may be denied.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438.3063, 438.3067; 438.340, 438.3055</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Senate Bill 100 of the 2025 Kentucky General Assembly</w:t>
      </w:r>
    </w:p>
    <w:p>
      <w:pPr>
        <w:pStyle w:val="kar_normal"/>
        <w:ind w:left="288"/>
      </w:pPr>
      <w:r>
        <w:t xml:space="preserve">(3)(a) Identify the promulgating agency and any other affected state units, parts, or divisions:</w:t>
      </w:r>
    </w:p>
    <w:p>
      <w:pPr>
        <w:pStyle w:val="kar_normal"/>
        <w:ind w:left="432"/>
      </w:pPr>
      <w:r>
        <w:t xml:space="preserve">Kentucky Department of Alcoholic Beverage Control is the promulgating agency. No other state units, parts or divisions are affected by this regulation.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This regulation will have no effect on any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No other entities will be affected by this regulation. This regulation will have no effect on any other regulated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regulation has no fiscal impact as it only outlines the reasons for which a license may be denied.</w:t>
      </w:r>
    </w:p>
    <w:p>
      <w:pPr>
        <w:pStyle w:val="kar_normal"/>
        <w:ind w:left="288"/>
      </w:pPr>
      <w:r>
        <w:t xml:space="preserve">(b) Methodology and resources used to reach this conclusion:</w:t>
      </w:r>
    </w:p>
    <w:p>
      <w:pPr>
        <w:pStyle w:val="kar_normal"/>
        <w:ind w:left="432"/>
      </w:pPr>
      <w:r>
        <w:t xml:space="preserve">The only methodology used to reach this conclusion is that the regulation imposes no new action on any regulated body.</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regulation will have no economic impact.</w:t>
      </w:r>
    </w:p>
    <w:p>
      <w:pPr>
        <w:pStyle w:val="kar_normal"/>
        <w:ind w:left="288"/>
      </w:pPr>
      <w:r>
        <w:t xml:space="preserve">(b) The methodology and resources used to reach this conclusion:</w:t>
      </w:r>
    </w:p>
    <w:p>
      <w:pPr>
        <w:pStyle w:val="kar_normal"/>
        <w:ind w:left="432"/>
      </w:pPr>
      <w:r>
        <w:t xml:space="preserve">The only methodology used to reach this conclusion is that the regulation imposes no new action on any regulated body.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N/A</w:t>
      </w:r>
    </w:p>
    <w:p>
      <w:pPr>
        <w:pStyle w:val="kar_normal"/>
        <w:ind w:left="288"/>
      </w:pPr>
      <w:r>
        <w:t xml:space="preserve">(2) State compliance standards.</w:t>
      </w:r>
    </w:p>
    <w:p>
      <w:pPr>
        <w:pStyle w:val="kar_normal"/>
        <w:ind w:left="432"/>
      </w:pPr>
      <w:r>
        <w:t xml:space="preserve">N/A</w:t>
      </w:r>
    </w:p>
    <w:p>
      <w:pPr>
        <w:pStyle w:val="kar_normal"/>
        <w:ind w:left="288"/>
      </w:pPr>
      <w:r>
        <w:t xml:space="preserve">(3) Minimum or uniform standards contained in the federal mandate.</w:t>
      </w:r>
    </w:p>
    <w:p>
      <w:pPr>
        <w:pStyle w:val="kar_normal"/>
        <w:ind w:left="432"/>
      </w:pPr>
      <w:r>
        <w:t xml:space="preserve">N/A</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N/A</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a1ef0df5a1464c" /><Relationship Type="http://schemas.openxmlformats.org/officeDocument/2006/relationships/settings" Target="/word/settings.xml" Id="R6357c52fb1f74e35" /></Relationships>
</file>