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ea8516d4640d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(Emergency Amended After Comments)</w:t>
      </w:r>
    </w:p>
    <w:p>
      <w:pPr>
        <w:pStyle w:val="kar_citation"/>
      </w:pPr>
      <w:r>
        <w:t>201 KAR 5:021E.</w:t>
      </w:r>
      <w:r>
        <w:t xml:space="preserve"> </w:t>
      </w:r>
      <w:r>
        <w:t xml:space="preserve">Licensure Compliance Review.</w:t>
      </w:r>
    </w:p>
    <w:p>
      <w:pPr>
        <w:pStyle w:val="kar_markup_metadata"/>
      </w:pPr>
      <w:r>
        <w:t xml:space="preserve">RELATES TO: </w:t>
      </w:r>
      <w:r>
        <w:t xml:space="preserve">KRS 320.220, 320.250, 320.280</w:t>
      </w:r>
      <w:r>
        <w:t>[</w:t>
      </w:r>
      <w:r>
        <w:rPr>
          <w:b/>
          <w:strike w:val="true"/>
        </w:rPr>
        <w:t xml:space="preserve">.</w:t>
      </w:r>
      <w:r>
        <w:t>]</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administrative regulation is necessary to address the directive for the Board of Optometric Examiners to investigate and review certain licensures per the Opinion of the Attorney General, OAG 25-13 in a way best to protect public health and welfare.</w:t>
      </w:r>
    </w:p>
    <w:p>
      <w:pPr>
        <w:pStyle w:val="kar_section"/>
      </w:pPr>
      <w:r>
        <w:t xml:space="preserve">Section 1.</w:t>
      </w:r>
      <w:r>
        <w:t xml:space="preserve"> </w:t>
      </w:r>
      <w:r>
        <w:t xml:space="preserve">For all initial licenses approved by the Board for individuals who graduated optometry school between 2020-2023, the following examinations shall be taken and a passing score must be submitted and in the possession of the Board prior to license renewal for 2027:</w:t>
      </w:r>
    </w:p>
    <w:p>
      <w:pPr>
        <w:pStyle w:val="kar_subsection"/>
      </w:pPr>
      <w:r>
        <w:t xml:space="preserve">(1)</w:t>
      </w:r>
      <w:r>
        <w:t xml:space="preserve"> </w:t>
      </w:r>
      <w:r>
        <w:t xml:space="preserve">National Board of Examiners in Optometry (NBEO) Part 1 results</w:t>
      </w:r>
      <w:r>
        <w:t>[</w:t>
      </w:r>
      <w:r>
        <w:rPr>
          <w:b/>
          <w:strike w:val="true"/>
        </w:rPr>
        <w:t xml:space="preserve">or Optometry Examining Board of Canada (OEBC) Part 1 results</w:t>
      </w:r>
      <w:r>
        <w:t>]</w:t>
      </w:r>
      <w:r>
        <w:t xml:space="preserve">;</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2.</w:t>
      </w:r>
      <w:r>
        <w:t xml:space="preserve"> </w:t>
      </w:r>
      <w:r>
        <w:rPr>
          <w:b/>
          <w:u w:val="single"/>
        </w:rPr>
        <w:t xml:space="preserve">A licensee may submit a passing score of the Optometry Examining Board of Canada (OEBC) Part 1 to satisfy the requirements of Section 1(1) of this emergency regulation if the OEBC Part 1 test was taken by the licensee or test results were submitted by the licensee to the Kentucky Board of Optometric Examiners between July 30, 2025 and April 15, 2026.</w:t>
      </w:r>
    </w:p>
    <w:p>
      <w:pPr>
        <w:pStyle w:val="kar_section"/>
      </w:pPr>
      <w:r>
        <w:rPr>
          <w:b/>
          <w:u w:val="single"/>
        </w:rPr>
        <w:t xml:space="preserve">Section 3.</w:t>
      </w:r>
      <w:r>
        <w:t xml:space="preserve"> </w:t>
      </w:r>
      <w:r>
        <w:t xml:space="preserve">The ABO board certification exam shall be utilized for this limited purpose and for the specific review of licenses.</w:t>
      </w:r>
    </w:p>
    <w:p>
      <w:pPr>
        <w:pStyle w:val="kar_section"/>
      </w:pPr>
      <w:r>
        <w:rPr>
          <w:b/>
          <w:u w:val="single"/>
        </w:rPr>
        <w:t xml:space="preserve">Section 4.</w:t>
      </w:r>
      <w:r>
        <w:t>[</w:t>
      </w:r>
      <w:r>
        <w:rPr>
          <w:b/>
          <w:strike w:val="true"/>
        </w:rPr>
        <w:t xml:space="preserve">Section 3.</w:t>
      </w:r>
      <w:r>
        <w:t>]</w:t>
      </w:r>
      <w:r>
        <w:t xml:space="preserve"> </w:t>
      </w:r>
      <w:r>
        <w:t xml:space="preserve">Any licensee who has not met the requirements of Section 1 of this emergency administrative regulation shall not perform the following procedures until all required results are submitted, reviewed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pPr>
      <w:r>
        <w:rPr>
          <w:b/>
          <w:u w:val="single"/>
        </w:rPr>
        <w:t xml:space="preserve">Section 5.</w:t>
      </w:r>
      <w:r>
        <w:t>[</w:t>
      </w:r>
      <w:r>
        <w:rPr>
          <w:b/>
          <w:strike w:val="true"/>
        </w:rPr>
        <w:t xml:space="preserve">Section 4.</w:t>
      </w:r>
      <w:r>
        <w:t>]</w:t>
      </w:r>
      <w:r>
        <w:t xml:space="preserve"> </w:t>
      </w:r>
      <w:r>
        <w:t xml:space="preserve">The Board shall provide written notice to the Office of the Attorney General when the </w:t>
      </w:r>
      <w:r>
        <w:rPr>
          <w:b/>
          <w:u w:val="single"/>
        </w:rPr>
        <w:t xml:space="preserve">credentialing</w:t>
      </w:r>
      <w:r>
        <w:t>[</w:t>
      </w:r>
      <w:r>
        <w:rPr>
          <w:b/>
          <w:strike w:val="true"/>
        </w:rPr>
        <w:t xml:space="preserve">investigation and</w:t>
      </w:r>
      <w:r>
        <w:t>]</w:t>
      </w:r>
      <w:r>
        <w:t xml:space="preserve"> review is complete.</w:t>
      </w:r>
    </w:p>
    <w:p>
      <w:pPr>
        <w:pStyle w:val="kar_signature"/>
      </w:pPr>
      <w:r>
        <w:t xml:space="preserve">Mary Beth Morris, OD; President</w:t>
      </w:r>
    </w:p>
    <w:p>
      <w:pPr>
        <w:pStyle w:val="kar_normal"/>
      </w:pPr>
      <w:r>
        <w:t xml:space="preserve"/>
      </w:r>
    </w:p>
    <w:p>
      <w:pPr>
        <w:pStyle w:val="kar_approved_by"/>
      </w:pPr>
      <w:r>
        <w:t xml:space="preserve">APPROVED BY AGENCY: April 14, 2026</w:t>
      </w:r>
    </w:p>
    <w:p>
      <w:pPr>
        <w:pStyle w:val="kar_filed"/>
      </w:pPr>
      <w:r>
        <w:t xml:space="preserve">FILED WITH LRC: April 15, 2026 at 10:10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Christi LeMay </w:t>
      </w:r>
    </w:p>
    <w:p>
      <w:pPr>
        <w:pStyle w:val="kar_normal"/>
        <w:ind w:left="0"/>
      </w:pPr>
      <w:r>
        <w:t xml:space="preserve">Subject Headings:</w:t>
      </w:r>
      <w:r>
        <w:t xml:space="preserve"> Occupations and Professions, Optometry,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procedures to be followed and scores of required examinations to be submitted, reviewed and accepted by the Kentucky Board of Optometry for renewal of optometry license in 2027 for individuals who graduated optometry school between 2020-2023.</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to be followed and scores of required examinations to be submitted, reviewed and accepted by the Kentucky Board of Optometry for renewal of optometry licenses in 2027. It also restricts certain procedures until all requirements are fulfilled.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authority provided in KRS 218A.205(3)(g), 320.250, 320.240(7), 320.270(4).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requirements for performing certain procedures and for licensure so that applicants, licensees, and the public are aware of the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examinations that are required for licensees who graduated from optometry school from 2020-2023 to submit to the Kentucky Board of Optometric Examiners for renewal in 2027.</w:t>
      </w:r>
    </w:p>
    <w:p>
      <w:pPr>
        <w:pStyle w:val="kar_normal"/>
        <w:ind w:left="576"/>
      </w:pPr>
      <w:r>
        <w:t xml:space="preserve">(b) The necessity of the amendment to this administrative regulation:</w:t>
      </w:r>
    </w:p>
    <w:p>
      <w:pPr>
        <w:pStyle w:val="kar_normal"/>
        <w:ind w:left="720"/>
      </w:pPr>
      <w:r>
        <w:t xml:space="preserve">This amendment is necessary to establish the examinations required for licensees who graduated from optometry school from 2020-2023 to submit to the Kentucky Board of Optometric Examiners for renewal in 2027.</w:t>
      </w:r>
    </w:p>
    <w:p>
      <w:pPr>
        <w:pStyle w:val="kar_normal"/>
        <w:ind w:left="576"/>
      </w:pPr>
      <w:r>
        <w:t xml:space="preserve">(c) How the amendment conforms to the content of the authorizing statutes:</w:t>
      </w:r>
    </w:p>
    <w:p>
      <w:pPr>
        <w:pStyle w:val="kar_normal"/>
        <w:ind w:left="720"/>
      </w:pPr>
      <w:r>
        <w:t xml:space="preserve">The authorizing statutes provide the board with authority to establish the licensing requirements, as well as what examinations are required for licensure. These examinations are required to be outlined by the board in regulation.</w:t>
      </w:r>
    </w:p>
    <w:p>
      <w:pPr>
        <w:pStyle w:val="kar_normal"/>
        <w:ind w:left="576"/>
      </w:pPr>
      <w:r>
        <w:t xml:space="preserve">(d) How the amendment will assist in the effective administration of the statutes:</w:t>
      </w:r>
    </w:p>
    <w:p>
      <w:pPr>
        <w:pStyle w:val="kar_normal"/>
        <w:ind w:left="720"/>
      </w:pPr>
      <w:r>
        <w:t xml:space="preserve">This amendment provides the examinations required for licensure.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affects all individuals seeking renewal of their licensure in 2027 if they graduated from optometry school from 2020-2023.</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All applicants are required to provide passing scores of the licensing examinations established in this amendment. This amendment will no longer allow licensees to submit results of OEBC examination taken after April 15, 2026.</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must pay the licensing fees for each required examination.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amendment is necessary to be licensed to practice optometry. (6) Provide an estimate of how much it will cost the administrative body to implement this amendment: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$350</w:t>
      </w:r>
    </w:p>
    <w:p>
      <w:pPr>
        <w:pStyle w:val="kar_normal"/>
        <w:ind w:left="576"/>
      </w:pPr>
      <w:r>
        <w:t xml:space="preserve">(b) On a continuing basis:</w:t>
      </w:r>
    </w:p>
    <w:p>
      <w:pPr>
        <w:pStyle w:val="kar_normal"/>
        <w:ind w:left="720"/>
      </w:pPr>
      <w:r>
        <w:t xml:space="preserve">$0</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establishes fees for licensure. This amendment does not change any of these fees.</w:t>
      </w:r>
    </w:p>
    <w:p>
      <w:pPr>
        <w:pStyle w:val="kar_normal"/>
        <w:ind w:left="288"/>
      </w:pPr>
      <w:r>
        <w:t xml:space="preserve">(10) TIERING: Is tiering applied?</w:t>
      </w:r>
    </w:p>
    <w:p>
      <w:pPr>
        <w:pStyle w:val="kar_normal"/>
        <w:ind w:left="432"/>
      </w:pPr>
      <w:r>
        <w:t xml:space="preserve">No, all changes affect licensees subject to their amendment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218A.205(3)(g), 320.220, 320.250, 320.270, 320.280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Kentucky Board of Optometric Examiners.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$350 expenditure increase with this amendment.</w:t>
      </w:r>
    </w:p>
    <w:p>
      <w:pPr>
        <w:pStyle w:val="kar_normal"/>
        <w:ind w:left="864"/>
      </w:pPr>
      <w:r>
        <w:t xml:space="preserve">For subsequent years:</w:t>
      </w:r>
      <w:r>
        <w:t xml:space="preserve"> $0 expenditure increase with this amendment.</w:t>
      </w:r>
    </w:p>
    <w:p>
      <w:pPr>
        <w:pStyle w:val="kar_normal"/>
        <w:ind w:left="576"/>
      </w:pPr>
      <w:r>
        <w:t xml:space="preserve">2. Revenues:</w:t>
      </w:r>
    </w:p>
    <w:p>
      <w:pPr>
        <w:pStyle w:val="kar_normal"/>
        <w:ind w:left="864"/>
      </w:pPr>
      <w:r>
        <w:t xml:space="preserve">For the first year:</w:t>
      </w:r>
      <w:r>
        <w:t xml:space="preserve"> $0 revenue increase with this amendment.</w:t>
      </w:r>
    </w:p>
    <w:p>
      <w:pPr>
        <w:pStyle w:val="kar_normal"/>
        <w:ind w:left="864"/>
      </w:pPr>
      <w:r>
        <w:t xml:space="preserve">For subsequent years:</w:t>
      </w:r>
      <w:r>
        <w:t xml:space="preserve"> $0 revenue increase with this amendment.</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N/A</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change any applicant fees paid to the Kentucky Board of Optometric Examiners.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ea973369224215" /><Relationship Type="http://schemas.openxmlformats.org/officeDocument/2006/relationships/settings" Target="/word/settings.xml" Id="Ra714a2a48c0e4d95" /></Relationships>
</file>