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c2f3af45990495f" /></Relationships>
</file>

<file path=word/document.xml><?xml version="1.0" encoding="utf-8"?>
<w:document xmlns:w="http://schemas.openxmlformats.org/wordprocessingml/2006/main">
  <w:body>
    <w:p>
      <w:pPr>
        <w:pStyle w:val="kar_citation"/>
      </w:pPr>
      <w:r>
        <w:t>201 KAR 9:305.</w:t>
      </w:r>
      <w:r>
        <w:t xml:space="preserve"> </w:t>
      </w:r>
      <w:r>
        <w:t xml:space="preserve">License renewal and registration; reregistration of inactive licenses; and continuing education requirements for athletic trainers.</w:t>
      </w:r>
    </w:p>
    <w:p>
      <w:pPr>
        <w:pStyle w:val="kar_markup_metadata"/>
      </w:pPr>
      <w:r>
        <w:t xml:space="preserve">RELATES TO: </w:t>
      </w:r>
      <w:r>
        <w:t xml:space="preserve">KRS 311.901(1), 311.905</w:t>
      </w:r>
    </w:p>
    <w:p>
      <w:pPr>
        <w:pStyle w:val="kar_markup_metadata"/>
      </w:pPr>
      <w:r>
        <w:t xml:space="preserve">STATUTORY AUTHORITY: </w:t>
      </w:r>
      <w:r>
        <w:t xml:space="preserve">KRS 311.565 (1)(b),  311.901(1)</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311.901(1) requires the Kentucky Board of Medical Licensure to promulgate administrative regulations relating to the licensure and regulation of athletic trainers, including procedures for licensure renewal and reinstatement and continuing education requirements. KRS 311.565(1)(b) authorizes the board to promulgate reasonable administrative regulations establishing qualifications of applicants for licenses and permits issues by the board. This administrative regulation establishes the continuing education requirements and the renewal and reinstatement processes for the continued licensure of athletic trainers.</w:t>
      </w:r>
    </w:p>
    <w:p>
      <w:pPr>
        <w:pStyle w:val="kar_section"/>
      </w:pPr>
      <w:r>
        <w:t xml:space="preserve">Section 1.</w:t>
      </w:r>
      <w:r>
        <w:t xml:space="preserve"> </w:t>
      </w:r>
      <w:r>
        <w:t xml:space="preserve">Definition. "CEU" means the completion of ten (10) hours of educational courses approved by the:</w:t>
      </w:r>
    </w:p>
    <w:p>
      <w:pPr>
        <w:pStyle w:val="kar_subsection"/>
      </w:pPr>
      <w:r>
        <w:t xml:space="preserve">(1)</w:t>
      </w:r>
      <w:r>
        <w:t xml:space="preserve"> </w:t>
      </w:r>
      <w:r>
        <w:t xml:space="preserve">Kentucky Board of Medical Licensure; or</w:t>
      </w:r>
    </w:p>
    <w:p>
      <w:pPr>
        <w:pStyle w:val="kar_subsection"/>
      </w:pPr>
      <w:r>
        <w:t xml:space="preserve">(2)</w:t>
      </w:r>
      <w:r>
        <w:t xml:space="preserve"> </w:t>
      </w:r>
      <w:r>
        <w:t xml:space="preserve">Board of Certification, Inc.</w:t>
      </w:r>
    </w:p>
    <w:p>
      <w:pPr>
        <w:pStyle w:val="kar_section"/>
      </w:pPr>
      <w:r>
        <w:t xml:space="preserve">Section 2.</w:t>
      </w:r>
      <w:r>
        <w:t xml:space="preserve"> </w:t>
      </w:r>
      <w:r>
        <w:t xml:space="preserve">An athletic trainer licensed to practice in the Commonwealth of Kentucky shall complete six (6) CEUs during each three (3) year renewal cycle.</w:t>
      </w:r>
    </w:p>
    <w:p>
      <w:pPr>
        <w:pStyle w:val="kar_section"/>
      </w:pPr>
      <w:r>
        <w:t xml:space="preserve">Section 3.</w:t>
      </w:r>
      <w:r>
        <w:t xml:space="preserve"> </w:t>
      </w:r>
      <w:r>
        <w:t xml:space="preserve">Renewal of an Active License. On or about May 1, every three (3) years, the executive director shall send by electronic communication ("email") notification to all athletic trainers ("licensees") holding an active regular license to practice as an athletic trainer in the Commonwealth that renewal of their license shall be executed on or before June 30 of that same year. The notification shall indicate the renewal fee and shall warn the licensee that failure to timely renew shall cause his or her license to become inactive.</w:t>
      </w:r>
    </w:p>
    <w:p>
      <w:pPr>
        <w:pStyle w:val="kar_section"/>
      </w:pPr>
      <w:r>
        <w:t xml:space="preserve">Section 4.</w:t>
      </w:r>
      <w:r>
        <w:t xml:space="preserve"> </w:t>
      </w:r>
      <w:r>
        <w:t xml:space="preserve">Failure to Timely Renew. If a licensee holding a regular license fails to renew his or her active license on or before June 30 of the year notified, the license shall be considered inactive or cancelled accordingly and continued practice by the athletic trainer shall be considered unauthorized and unlicensed.</w:t>
      </w:r>
    </w:p>
    <w:p>
      <w:pPr>
        <w:pStyle w:val="kar_section"/>
      </w:pPr>
      <w:r>
        <w:t xml:space="preserve">Section 5.</w:t>
      </w:r>
      <w:r>
        <w:t xml:space="preserve"> </w:t>
      </w:r>
      <w:r>
        <w:t xml:space="preserve">Activation of Inactive Regular License.</w:t>
      </w:r>
    </w:p>
    <w:p>
      <w:pPr>
        <w:pStyle w:val="kar_subsection"/>
      </w:pPr>
      <w:r>
        <w:t xml:space="preserve">(1)</w:t>
      </w:r>
      <w:r>
        <w:t xml:space="preserve"> </w:t>
      </w:r>
      <w:r>
        <w:t xml:space="preserve">Upon failure of a licensee to renew his or her active license before the expiration of the time allowed, the license shall become inactive and continued practice by the athletic trainer shall be considered unauthorized and unlicensed.</w:t>
      </w:r>
    </w:p>
    <w:p>
      <w:pPr>
        <w:pStyle w:val="kar_subsection"/>
      </w:pPr>
      <w:r>
        <w:t xml:space="preserve">(2)</w:t>
      </w:r>
      <w:r>
        <w:t xml:space="preserve"> </w:t>
      </w:r>
      <w:r>
        <w:t xml:space="preserve">At any subsequent time, the holder of an inactive license may apply to activate his or her inactive license by paying the fee for activation of an inactive license, and satisfactorily completing the forms necessary for obtaining sufficient information concerning the athletic trainer's present fitness to practice.</w:t>
      </w:r>
    </w:p>
    <w:p>
      <w:pPr>
        <w:pStyle w:val="kar_section"/>
      </w:pPr>
      <w:r>
        <w:t xml:space="preserve">Section 6.</w:t>
      </w:r>
      <w:r>
        <w:t xml:space="preserve"> </w:t>
      </w:r>
      <w:r>
        <w:t xml:space="preserve">All notifications required to be sent by this administrative regulation shall be sent by email to the licensee's last known self-entered email address of which the board has record. Failure of the licensee to receive notice if emailed to the licensee's last known self-entered email address shall not excuse the licensee from compliance with statutes or this administrative regulation.</w:t>
      </w:r>
    </w:p>
    <w:p>
      <w:pPr>
        <w:pStyle w:val="kar_history"/>
        <w:sectPr>
          <w:pgSz w:w="12240" w:h="15840" w:orient="portrait" w:code="1"/>
          <w:pgMar w:top="1080" w:right="1080" w:bottom="1080" w:left="1080" w:header="720" w:footer="720" w:gutter="0"/>
          <w:paperSrc w:first="263" w:other="263"/>
          <w:noEndnote/>
          <w:docGrid w:linePitch="218"/>
        </w:sectPr>
      </w:pPr>
      <w:r>
        <w:t xml:space="preserve">(201 KAR 009:305. 18 Ky.R. 211; Am. 996; eff. 9-24-1991; 40 Ky.R. 2591; 41 Ky.R. 12; eff. 8-1-2014; 42 Ky.R. 460; 1464; eff. 11-18-2015; 49 Ky.R. 369, 1041; eff. 11-15-2022; 52 Ky.R. 1396, 1806; eff. 7-16-2026.)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5fbecacae5f240c6" /><Relationship Type="http://schemas.openxmlformats.org/officeDocument/2006/relationships/settings" Target="/word/settings.xml" Id="Re2462f01edbb4b5a" /></Relationships>
</file>