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0de73491144b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5:050.</w:t>
      </w:r>
      <w:r>
        <w:t xml:space="preserve"> </w:t>
      </w:r>
      <w:r>
        <w:t xml:space="preserve">Office locations.</w:t>
      </w:r>
    </w:p>
    <w:p>
      <w:pPr>
        <w:pStyle w:val="kar_markup_metadata"/>
      </w:pPr>
      <w:r>
        <w:t xml:space="preserve">RELATES TO: </w:t>
      </w:r>
      <w:r>
        <w:t xml:space="preserve">KRS 320.310(2)</w:t>
      </w:r>
    </w:p>
    <w:p>
      <w:pPr>
        <w:pStyle w:val="kar_markup_metadata"/>
      </w:pPr>
      <w:r>
        <w:t xml:space="preserve">STATUTORY AUTHORITY: </w:t>
      </w:r>
      <w:r>
        <w:t xml:space="preserve">KRS 320.240, 320.310(2)</w:t>
      </w:r>
    </w:p>
    <w:p>
      <w:pPr>
        <w:pStyle w:val="kar_markup_metadata"/>
      </w:pPr>
      <w:r>
        <w:t xml:space="preserve">NECESSITY, FUNCTION, AND CONFORMITY: </w:t>
      </w:r>
      <w:r>
        <w:t xml:space="preserve">KRS 320.310(2) permits each optometrist to maintain branch offices. This administrative regulation requires each optometrist to furnish information concerning each office to the board.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An optometrist shall inform the board of the change in location, mailing address, and telephone number of each office he works in within thirty (30) days of any change.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(201 KAR 005:050. 1 Ky.R. 719; eff. 7-2-1975; 17 Ky.R. 2492; eff. 4-5-1991; 27 Ky.R. 2870; eff. 8-15-2001; Crt eff. 1-23-2019; Expired 1-23-2026, 7 years after last effective date, KRS 13A.3102.)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a1130a49ec4de1" /><Relationship Type="http://schemas.openxmlformats.org/officeDocument/2006/relationships/settings" Target="/word/settings.xml" Id="R89c34788e6fc4055" /></Relationships>
</file>