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28beb4af145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5:070.</w:t>
      </w:r>
      <w:r>
        <w:t xml:space="preserve"> </w:t>
      </w:r>
      <w:r>
        <w:t xml:space="preserve">Board members compensation.</w:t>
      </w:r>
    </w:p>
    <w:p>
      <w:pPr>
        <w:pStyle w:val="kar_markup_metadata"/>
      </w:pPr>
      <w:r>
        <w:t xml:space="preserve">RELATES TO: </w:t>
      </w:r>
      <w:r>
        <w:t xml:space="preserve">KRS 320.230</w:t>
      </w:r>
    </w:p>
    <w:p>
      <w:pPr>
        <w:pStyle w:val="kar_markup_metadata"/>
      </w:pPr>
      <w:r>
        <w:t xml:space="preserve">STATUTORY AUTHORITY: </w:t>
      </w:r>
      <w:r>
        <w:t xml:space="preserve">KRS 320.230, 320.240</w:t>
      </w:r>
    </w:p>
    <w:p>
      <w:pPr>
        <w:pStyle w:val="kar_markup_metadata"/>
      </w:pPr>
      <w:r>
        <w:t xml:space="preserve">NECESSITY, FUNCTION, AND CONFORMITY: </w:t>
      </w:r>
      <w:r>
        <w:t xml:space="preserve">KRS 320.230 allows the board members to receive per diem compensation to be determined by administrative regulation of the board not to exceed $125. This administrative regulation prescribes the board member's per diem compensation.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 board member's per diem compensation shall be $100.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(17 Ky.R. 2564; eff. 4-5-91; Crt eff. 2-21-2020.)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ffe791313e4f5f" /><Relationship Type="http://schemas.openxmlformats.org/officeDocument/2006/relationships/settings" Target="/word/settings.xml" Id="R3953112cf0264a0d" /></Relationships>
</file>