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25aac097140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5:120.</w:t>
      </w:r>
      <w:r>
        <w:t xml:space="preserve"> </w:t>
      </w:r>
      <w:r>
        <w:t xml:space="preserve">Practice of optometry outside of regular office for a charitable purpose.</w:t>
      </w:r>
    </w:p>
    <w:p>
      <w:pPr>
        <w:pStyle w:val="kar_markup_metadata"/>
      </w:pPr>
      <w:r>
        <w:t xml:space="preserve">RELATES TO: </w:t>
      </w:r>
      <w:r>
        <w:t xml:space="preserve">KRS (7), 320.310(1)(f)</w:t>
      </w:r>
    </w:p>
    <w:p>
      <w:pPr>
        <w:pStyle w:val="kar_markup_metadata"/>
      </w:pPr>
      <w:r>
        <w:t xml:space="preserve">STATUTORY AUTHORITY: </w:t>
      </w:r>
      <w:r>
        <w:t xml:space="preserve">KRS 320.240(4), (7), 320.310(1)(f)</w:t>
      </w:r>
    </w:p>
    <w:p>
      <w:pPr>
        <w:pStyle w:val="kar_markup_metadata"/>
      </w:pPr>
      <w:r>
        <w:t xml:space="preserve">NECESSITY, FUNCTION, AND CONFORMITY: </w:t>
      </w:r>
      <w:r>
        <w:t xml:space="preserve">KRS 320.310(1)(f) authorizes the board to promulgate administrative regulations to permit the practice of optometry outside of the licensee's regular office for a charitable purpose as defined by the board. This administrative regulation establishes the standards for the practice of optometry outside the licensee's office for a charitable purpose.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"Charitable organization" means a nonprofit entity accepted by the Internal Revenue Service and organized for benevolent, educational, philanthropic, humane, social welfare, or public health purposes.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"Charitable purpose" means a purpose that holds itself out to be benevolent, educational, philanthropic, humane, or for social welfare or public health.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 order for a Kentucky licensed optometrist to provide optometric services outside the optometrist's regular office for a charitable purpose, a charitable organization shall provide to the board: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written request to include the services of Kentucky licensed optometrists at least thirty (30) days before the optometric services are to be offered;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Proof of its nonprofit status;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Assurance that the participating optometrist shall not be compensated or remunerated in any manner;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names of all participating optometrists;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address of the location where the optometric services will be offered;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dates and times the optometric services will be offered, which shall not exceed seven (7) days per event;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A statement of the nature of the optometric services to be provided and the class of individuals who are intended to be the recipients of the optometric services;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 statement that the charitable organization shall require every participating optometrist to develop and maintain a permanent patient record for each individual treated by that optometrist; and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A statement that the charitable organization shall require every participating optometrist to comply with the minimum eye examination requirements of 201 KAR 5:040, Section 7.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The board or its acting president may waive the thirty (30) day requirement based on exigent circumstances that prevented the charitable organization from complying with the thirty (30) day requirement.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The board or its acting president shall notify the charitable organization in writing if its request has been approved within ten (10) business days of receipt of the completed request.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A written request may include multiple events on different dates if the events are scheduled within twelve (12) months of the date the completed request is received by the board.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Requirements for Eyeglasses Provided.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eyeglasses are provided as part of the charitable service, all materials shall be new, first quality and free from defects.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Lenses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First quality and meet the requirements of inspection, tolerance, and testing procedures as outlined in the American Standard Prescription Requirements;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Made to meet the individual recipient's personal prescription.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Failure to comply with the terms of this administrative regulation may result in denial or withdrawal of approval.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005:120. 35 Ky.R. 1673; 2080; 2408; eff. 6-5-2009; Crt eff. 1-23-2019; Expired 1-23-2026, 7 years after last effective date, KRS 13A.3102.)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e7ec67ad584df7" /><Relationship Type="http://schemas.openxmlformats.org/officeDocument/2006/relationships/settings" Target="/word/settings.xml" Id="R451219a919c84c71" /></Relationships>
</file>