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cdf5922f94d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6:100.</w:t>
      </w:r>
      <w:r>
        <w:t xml:space="preserve"> </w:t>
      </w:r>
      <w:r>
        <w:t xml:space="preserve">Per diem compensation of board members.</w:t>
      </w:r>
    </w:p>
    <w:p>
      <w:pPr>
        <w:pStyle w:val="kar_markup_metadata"/>
      </w:pPr>
      <w:r>
        <w:t xml:space="preserve">RELATES TO: </w:t>
      </w:r>
      <w:r>
        <w:t xml:space="preserve">KRS 216A.060</w:t>
      </w:r>
    </w:p>
    <w:p>
      <w:pPr>
        <w:pStyle w:val="kar_markup_metadata"/>
      </w:pPr>
      <w:r>
        <w:t xml:space="preserve">STATUTORY AUTHORITY: </w:t>
      </w:r>
      <w:r>
        <w:t xml:space="preserve">KRS 216A.060(2)</w:t>
      </w:r>
    </w:p>
    <w:p>
      <w:pPr>
        <w:pStyle w:val="kar_markup_metadata"/>
      </w:pPr>
      <w:r>
        <w:t xml:space="preserve">NECESSITY, FUNCTION, AND CONFORMITY: </w:t>
      </w:r>
      <w:r>
        <w:t xml:space="preserve">KRS 216A.060(2) provides that members of the board shall receive per diem compensation to be established by administrative regulation, and that the compensation shall not exceed $120 per day. This administrative regulation establishes the per diem compensation to be received by board members.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Each member of the board shall receive per diem compensation of $120 for attending each board meeting or otherwise discharging their official duties of the board.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(46 Ky.R. 3064; eff. 9-23-2020.)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ca0246c88a4bc0" /><Relationship Type="http://schemas.openxmlformats.org/officeDocument/2006/relationships/settings" Target="/word/settings.xml" Id="Rc75b12e4194547f2" /></Relationships>
</file>