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f5a4b384e94e8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27:030.</w:t>
      </w:r>
      <w:r>
        <w:t xml:space="preserve"> </w:t>
      </w:r>
      <w:r>
        <w:t xml:space="preserve">Brokers, lienors and fiduciaries.</w:t>
      </w:r>
    </w:p>
    <w:p>
      <w:pPr>
        <w:pStyle w:val="kar_markup_metadata"/>
      </w:pPr>
      <w:r>
        <w:t xml:space="preserve">RELATES TO: </w:t>
      </w:r>
      <w:r>
        <w:t xml:space="preserve">KRS 139.010, 139.200</w:t>
      </w:r>
    </w:p>
    <w:p>
      <w:pPr>
        <w:pStyle w:val="kar_markup_metadata"/>
      </w:pPr>
      <w:r>
        <w:t xml:space="preserve">STATUTORY AUTHORITY: </w:t>
      </w:r>
      <w:r>
        <w:t xml:space="preserve">KRS 131.130(1)</w:t>
      </w:r>
    </w:p>
    <w:p>
      <w:pPr>
        <w:pStyle w:val="kar_markup_metadata"/>
      </w:pPr>
      <w:r>
        <w:t xml:space="preserve">NECESSITY, FUNCTION, AND CONFORMITY: </w:t>
      </w:r>
      <w:r>
        <w:rPr>
          <w:u w:val="single"/>
        </w:rPr>
        <w:t xml:space="preserve">KRS 131.130(1) authorizes the Department of Revenue to promulgate regulations for the administration of all tax laws. </w:t>
      </w:r>
      <w:r>
        <w:t xml:space="preserve">This administrative regulation interprets the sales and use tax law as it applies to sales by brokers, lienors, and fiduciaries.</w:t>
      </w:r>
    </w:p>
    <w:p>
      <w:pPr>
        <w:pStyle w:val="kar_section"/>
      </w:pPr>
      <w:r>
        <w:t xml:space="preserve">Section 1.</w:t>
      </w:r>
      <w:r>
        <w:t xml:space="preserve"> </w:t>
      </w:r>
      <w:r>
        <w:t xml:space="preserve">Brokers such as food or produce brokers, grain brokers, lumber brokers</w:t>
      </w:r>
      <w:r>
        <w:rPr>
          <w:u w:val="single"/>
        </w:rPr>
        <w:t xml:space="preserve">,</w:t>
      </w:r>
      <w:r>
        <w:t xml:space="preserve"> and other brokers not having possession of tangible personal property for sale </w:t>
      </w:r>
      <w:r>
        <w:rPr>
          <w:u w:val="single"/>
        </w:rPr>
        <w:t xml:space="preserve">shall</w:t>
      </w:r>
      <w:r>
        <w:t>[</w:t>
      </w:r>
      <w:r>
        <w:rPr>
          <w:strike w:val="true"/>
        </w:rPr>
        <w:t xml:space="preserve">are</w:t>
      </w:r>
      <w:r>
        <w:t>]</w:t>
      </w:r>
      <w:r>
        <w:t xml:space="preserve"> not </w:t>
      </w:r>
      <w:r>
        <w:rPr>
          <w:u w:val="single"/>
        </w:rPr>
        <w:t xml:space="preserve">be </w:t>
      </w:r>
      <w:r>
        <w:t xml:space="preserve">retailers. </w:t>
      </w:r>
      <w:r>
        <w:rPr>
          <w:u w:val="single"/>
        </w:rPr>
        <w:t xml:space="preserve">Marketplace providers defined in KRS 139.010 shall not be considered brokers under this administrative regulation.</w:t>
      </w:r>
    </w:p>
    <w:p>
      <w:pPr>
        <w:pStyle w:val="kar_section"/>
      </w:pPr>
      <w:r>
        <w:t xml:space="preserve">Section 2.</w:t>
      </w:r>
      <w:r>
        <w:t xml:space="preserve"> </w:t>
      </w:r>
      <w:r>
        <w:t xml:space="preserve">Pawn</w:t>
      </w:r>
      <w:r>
        <w:t xml:space="preserve">brokers selling tangible personal property </w:t>
      </w:r>
      <w:r>
        <w:rPr>
          <w:u w:val="single"/>
        </w:rPr>
        <w:t xml:space="preserve">shall be</w:t>
      </w:r>
      <w:r>
        <w:t>[</w:t>
      </w:r>
      <w:r>
        <w:rPr>
          <w:strike w:val="true"/>
        </w:rPr>
        <w:t xml:space="preserve">are</w:t>
      </w:r>
      <w:r>
        <w:t>]</w:t>
      </w:r>
      <w:r>
        <w:t xml:space="preserve"> retailers and shall report and pay the tax on the gross receipts from the sale of </w:t>
      </w:r>
      <w:r>
        <w:rPr>
          <w:u w:val="single"/>
        </w:rPr>
        <w:t xml:space="preserve">the</w:t>
      </w:r>
      <w:r>
        <w:t>[</w:t>
      </w:r>
      <w:r>
        <w:rPr>
          <w:strike w:val="true"/>
        </w:rPr>
        <w:t xml:space="preserve">such</w:t>
      </w:r>
      <w:r>
        <w:t>]</w:t>
      </w:r>
      <w:r>
        <w:t xml:space="preserve"> property. The sale of property forfeited to them by reason of the pawner's failure to redeem shall be included in the gross receipts.</w:t>
      </w:r>
    </w:p>
    <w:p>
      <w:pPr>
        <w:pStyle w:val="kar_section"/>
      </w:pPr>
      <w:r>
        <w:t xml:space="preserve">Section 3.</w:t>
      </w:r>
      <w:r>
        <w:t xml:space="preserve"> </w:t>
      </w:r>
      <w:r>
        <w:t xml:space="preserve">Lienors such as storage operators, mechanics, artisans</w:t>
      </w:r>
      <w:r>
        <w:rPr>
          <w:u w:val="single"/>
        </w:rPr>
        <w:t xml:space="preserve">,</w:t>
      </w:r>
      <w:r>
        <w:t xml:space="preserve"> and others selling tangible personal property to enforce a lien thereon </w:t>
      </w:r>
      <w:r>
        <w:rPr>
          <w:u w:val="single"/>
        </w:rPr>
        <w:t xml:space="preserve">shall be</w:t>
      </w:r>
      <w:r>
        <w:t>[</w:t>
      </w:r>
      <w:r>
        <w:rPr>
          <w:strike w:val="true"/>
        </w:rPr>
        <w:t xml:space="preserve">are</w:t>
      </w:r>
      <w:r>
        <w:t>]</w:t>
      </w:r>
      <w:r>
        <w:t xml:space="preserve"> retailers with respect to sales of the property to consumers and the tax </w:t>
      </w:r>
      <w:r>
        <w:rPr>
          <w:u w:val="single"/>
        </w:rPr>
        <w:t xml:space="preserve">shall apply</w:t>
      </w:r>
      <w:r>
        <w:t>[</w:t>
      </w:r>
      <w:r>
        <w:rPr>
          <w:strike w:val="true"/>
        </w:rPr>
        <w:t xml:space="preserve">applies</w:t>
      </w:r>
      <w:r>
        <w:t>]</w:t>
      </w:r>
      <w:r>
        <w:t xml:space="preserve"> to the gross receipts from </w:t>
      </w:r>
      <w:r>
        <w:rPr>
          <w:u w:val="single"/>
        </w:rPr>
        <w:t xml:space="preserve">the</w:t>
      </w:r>
      <w:r>
        <w:t>[</w:t>
      </w:r>
      <w:r>
        <w:rPr>
          <w:strike w:val="true"/>
        </w:rPr>
        <w:t xml:space="preserve">such</w:t>
      </w:r>
      <w:r>
        <w:t>]</w:t>
      </w:r>
      <w:r>
        <w:t xml:space="preserve"> sales.</w:t>
      </w:r>
    </w:p>
    <w:p>
      <w:pPr>
        <w:pStyle w:val="kar_section"/>
      </w:pPr>
      <w:r>
        <w:t xml:space="preserve">Section 4.</w:t>
      </w:r>
      <w:r>
        <w:t xml:space="preserve"> </w:t>
      </w:r>
      <w:r>
        <w:t xml:space="preserve">Fiduciaries having possession of tangible personal property for the purpose of sale </w:t>
      </w:r>
      <w:r>
        <w:rPr>
          <w:u w:val="single"/>
        </w:rPr>
        <w:t xml:space="preserve">shall be</w:t>
      </w:r>
      <w:r>
        <w:t>[</w:t>
      </w:r>
      <w:r>
        <w:rPr>
          <w:strike w:val="true"/>
        </w:rPr>
        <w:t xml:space="preserve">are </w:t>
      </w:r>
      <w:r>
        <w:t>]</w:t>
      </w:r>
      <w:r>
        <w:t xml:space="preserve">retailers with respect to sales of the property to consumers and the tax </w:t>
      </w:r>
      <w:r>
        <w:rPr>
          <w:u w:val="single"/>
        </w:rPr>
        <w:t xml:space="preserve">shall apply</w:t>
      </w:r>
      <w:r>
        <w:t>[</w:t>
      </w:r>
      <w:r>
        <w:rPr>
          <w:strike w:val="true"/>
        </w:rPr>
        <w:t xml:space="preserve">applies</w:t>
      </w:r>
      <w:r>
        <w:t>]</w:t>
      </w:r>
      <w:r>
        <w:t xml:space="preserve"> to the gross receipts from </w:t>
      </w:r>
      <w:r>
        <w:rPr>
          <w:u w:val="single"/>
        </w:rPr>
        <w:t xml:space="preserve">the</w:t>
      </w:r>
      <w:r>
        <w:t>[</w:t>
      </w:r>
      <w:r>
        <w:rPr>
          <w:strike w:val="true"/>
        </w:rPr>
        <w:t xml:space="preserve">such</w:t>
      </w:r>
      <w:r>
        <w:t>]</w:t>
      </w:r>
      <w:r>
        <w:t xml:space="preserve"> sales.</w:t>
      </w:r>
    </w:p>
    <w:p>
      <w:pPr>
        <w:pStyle w:val="kar_signature"/>
      </w:pPr>
      <w:r>
        <w:t xml:space="preserve">THOMAS B. MILLER, COMMISSIONER</w:t>
      </w:r>
    </w:p>
    <w:p>
      <w:pPr>
        <w:pStyle w:val="kar_normal"/>
      </w:pPr>
      <w:r>
        <w:t xml:space="preserve"/>
      </w:r>
    </w:p>
    <w:p>
      <w:pPr>
        <w:pStyle w:val="kar_comment_period"/>
      </w:pPr>
      <w:r>
        <w:t xml:space="preserve">PUBLIC HEARING AND PUBLIC COMMENT PERIOD: A public comment on this administrative regulation shall be held on August 26, 2026,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amends 103 KAR 27:030 to exclude from the definition of brokers those entities operating under the definition of marketplace providers as defined in KRS 139.010 and makes amendments to be compliance with KRS Chapter 13A.</w:t>
      </w:r>
    </w:p>
    <w:p>
      <w:pPr>
        <w:pStyle w:val="kar_normal"/>
        <w:ind w:left="576"/>
      </w:pPr>
      <w:r>
        <w:t xml:space="preserve">(b) The necessity of this administrative regulation:</w:t>
      </w:r>
    </w:p>
    <w:p>
      <w:pPr>
        <w:pStyle w:val="kar_normal"/>
        <w:ind w:left="720"/>
      </w:pPr>
      <w:r>
        <w:t xml:space="preserve">This amendment clarifies the 2019 change to 139.010 that includes qualifying marketplace providers in the category of retailers.</w:t>
      </w:r>
    </w:p>
    <w:p>
      <w:pPr>
        <w:pStyle w:val="kar_normal"/>
        <w:ind w:left="576"/>
      </w:pPr>
      <w:r>
        <w:t xml:space="preserve">(c) How this administrative regulation conforms to the content of the authorizing statutes:</w:t>
      </w:r>
    </w:p>
    <w:p>
      <w:pPr>
        <w:pStyle w:val="kar_normal"/>
        <w:ind w:left="720"/>
      </w:pPr>
      <w:r>
        <w:t xml:space="preserve">KRS 131.130(1) grants the Department of Revenue the authority to promulgate administrative regulations it deems necessary for the administration of Kentucky’s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(1)(a).</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 for how the amendment will assist in the effective administration of the statutes.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taxpayer or taxpayer representative seeking guidance on the proper sales tax treatment of brokers, lienors, or fiduciaries will find appropriate guidance in this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required.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associated with this change.</w:t>
      </w:r>
    </w:p>
    <w:p>
      <w:pPr>
        <w:pStyle w:val="kar_normal"/>
        <w:ind w:left="576"/>
      </w:pPr>
      <w:r>
        <w:t xml:space="preserve">(c) As a result of compliance, what benefits will accrue to the entities identified in question (4):</w:t>
      </w:r>
    </w:p>
    <w:p>
      <w:pPr>
        <w:pStyle w:val="kar_normal"/>
        <w:ind w:left="720"/>
      </w:pPr>
      <w:r>
        <w:t xml:space="preserve">Taxpayers and taxpayer representatives will be able to locate current guidance regarding the treatment of marketplace providers.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anticipated with this amendment. Current staff and budgeted funding will absorb any cost associated with implementation.</w:t>
      </w:r>
    </w:p>
    <w:p>
      <w:pPr>
        <w:pStyle w:val="kar_normal"/>
        <w:ind w:left="576"/>
      </w:pPr>
      <w:r>
        <w:t xml:space="preserve">(b) On a continuing basis:</w:t>
      </w:r>
    </w:p>
    <w:p>
      <w:pPr>
        <w:pStyle w:val="kar_normal"/>
        <w:ind w:left="720"/>
      </w:pPr>
      <w:r>
        <w:t xml:space="preserve">The Department of Revenue should not incur additional costs on an ongoing basis due to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budgeted funding for the Department of Revenue will be used to implement and enforce this amendment to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does not establish any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directly or indirectly increase any fees.</w:t>
      </w:r>
    </w:p>
    <w:p>
      <w:pPr>
        <w:pStyle w:val="kar_normal"/>
        <w:ind w:left="288"/>
      </w:pPr>
      <w:r>
        <w:t xml:space="preserve">(10) TIERING: Is tiering applied?</w:t>
      </w:r>
    </w:p>
    <w:p>
      <w:pPr>
        <w:pStyle w:val="kar_normal"/>
        <w:ind w:left="432"/>
      </w:pPr>
      <w:r>
        <w:t xml:space="preserve">Tiering is not applied. The updating of this administrative regulation will impact all affected taxpayers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131.130(1) allows the Department to promulgate regulations for administration of Kentucky tax laws.</w:t>
      </w:r>
    </w:p>
    <w:p>
      <w:pPr>
        <w:pStyle w:val="kar_normal"/>
        <w:ind w:left="288"/>
      </w:pPr>
      <w:r>
        <w:t xml:space="preserve">(3)(a) Identify the promulgating agency and any other affected state units, parts, or divisions:</w:t>
      </w:r>
    </w:p>
    <w:p>
      <w:pPr>
        <w:pStyle w:val="kar_normal"/>
        <w:ind w:left="432"/>
      </w:pPr>
      <w:r>
        <w:t xml:space="preserve">The Department of Revenue is the promulgating agency and the only agency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(5)(a) Identify any affected regulated entities not listed in (3)(a) or (4)(a):</w:t>
      </w:r>
    </w:p>
    <w:p>
      <w:pPr>
        <w:pStyle w:val="kar_normal"/>
        <w:ind w:left="432"/>
      </w:pPr>
      <w:r>
        <w:t xml:space="preserve">The amendment to this administrative regulation is not anticipated to impact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removes marketplace providers from the definition of brokers due to a statutory change.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updates language to comply with a statutory change.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9a25248d454001" /><Relationship Type="http://schemas.openxmlformats.org/officeDocument/2006/relationships/settings" Target="/word/settings.xml" Id="R6875a86170724383" /></Relationships>
</file>