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cc36e621674628"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45A.045(2)</w:t>
      </w:r>
    </w:p>
    <w:p>
      <w:pPr>
        <w:pStyle w:val="kar_markup_metadata"/>
      </w:pPr>
      <w:r>
        <w:t xml:space="preserve">STATUTORY AUTHORITY: </w:t>
      </w:r>
      <w:r>
        <w:t xml:space="preserve">KRS 45A.045(2)</w:t>
      </w:r>
    </w:p>
    <w:p>
      <w:pPr>
        <w:pStyle w:val="kar_markup_metadata"/>
      </w:pPr>
      <w:r>
        <w:t xml:space="preserve">CERTIFICATION STATEMENT: </w:t>
      </w:r>
      <w:r>
        <w:t xml:space="preserve">This is to certify that this administrative regulation complies with the requirements of 2025 RS HB 6, Section 8, as this amended administrative regulation will not have a major economic impact, as defined by KRS 13A.010(13). The Governor's signature is included after the body of the regulation to indicate his acknowledgement of this certification.</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A state agency shall follow the procurement requirements in the Finance and Administration Cabinet Manual of Policies and Procedures.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May 2026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website, https://finance.ky.gov/office-of-the-secretary/office-of-policy-and-audit/Pages/Finance-Policies.aspx.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005:021. 21 Ky.R. 709; eff. 9-14-1994; Am. 22 Ky.R. 2044; eff. 7-5-1996; 23 Ky.R. 1403; eff. 11-11-1996; 3072; eff. 3-26-1997; 24 Ky.R. 926; 1294; eff. 1-12-1998; 25 Ky.R. 903; eff. 2-18-1999; 28 Ky.R. 1905; 2187; eff. 4-15-2002; 30 Ky.R. 667; 1459; eff. 1-5-2004; 31 Ky.R. 139; 702; eff. 11-5-2004; 1875; 32 Ky.R. 47; 8-5-2005; 937; 1389; eff. 3-3-2006; 42 Ky.R. 1906; 2471; eff. 4-1-2016; Cert. eff. 2-22-2023; 51 Ky.R. 82, 658; eff. 12-31-2024; 52 Ky.R. 196, 973, 1115; eff. 4-7-2026; TAm eff. 5-26-2026.)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68fe432984dd2" /><Relationship Type="http://schemas.openxmlformats.org/officeDocument/2006/relationships/settings" Target="/word/settings.xml" Id="R9e5fa2be92714660" /></Relationships>
</file>