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c7b561be1d4741" /></Relationships>
</file>

<file path=word/document.xml><?xml version="1.0" encoding="utf-8"?>
<w:document xmlns:w="http://schemas.openxmlformats.org/wordprocessingml/2006/main">
  <w:body>
    <w:p>
      <w:pPr>
        <w:pStyle w:val="kar_citation"/>
      </w:pPr>
      <w:r>
        <w:t>201 KAR 23:072.</w:t>
      </w:r>
      <w:r>
        <w:t xml:space="preserve"> </w:t>
      </w:r>
      <w:r>
        <w:t xml:space="preserve">Examination requirements.</w:t>
      </w:r>
    </w:p>
    <w:p>
      <w:pPr>
        <w:pStyle w:val="kar_markup_metadata"/>
      </w:pPr>
      <w:r>
        <w:t xml:space="preserve">RELATES TO: </w:t>
      </w:r>
      <w:r>
        <w:t xml:space="preserve">KRS 335.070, 335.080, 335.090, and 335.100</w:t>
      </w:r>
    </w:p>
    <w:p>
      <w:pPr>
        <w:pStyle w:val="kar_markup_metadata"/>
      </w:pPr>
      <w:r>
        <w:t xml:space="preserve">STATUTORY AUTHORITY: </w:t>
      </w:r>
      <w:r>
        <w:t xml:space="preserve">KRS 335.070</w:t>
      </w:r>
    </w:p>
    <w:p>
      <w:pPr>
        <w:pStyle w:val="kar_markup_metadata"/>
      </w:pPr>
      <w:r>
        <w:t xml:space="preserve">NECESSITY, FUNCTION, AND CONFORMITY: </w:t>
      </w:r>
      <w:r>
        <w:t xml:space="preserve">KRS 335.070 authorizes the board to</w:t>
      </w:r>
    </w:p>
    <w:p>
      <w:pPr>
        <w:pStyle w:val="kar_section"/>
      </w:pPr>
      <w:r>
        <w:t xml:space="preserve">Section 1.</w:t>
      </w:r>
      <w:r>
        <w:t xml:space="preserve"> </w:t>
      </w:r>
      <w:r>
        <w:t xml:space="preserve">Examination for Licensed Social Worker. The national examination shall be the Bachelors Examination developed and owned by the Association of Social Work Boards (ASWB) and administered by the ASWB or its designated examination contractor.</w:t>
      </w:r>
    </w:p>
    <w:p>
      <w:pPr>
        <w:pStyle w:val="kar_section"/>
      </w:pPr>
      <w:r>
        <w:t xml:space="preserve">Section 2.</w:t>
      </w:r>
      <w:r>
        <w:t xml:space="preserve"> </w:t>
      </w:r>
      <w:r>
        <w:t xml:space="preserve">Examination for Certified Social Worker. The national examination shall be the Masters Examination developed and owned by the Association of Social Work Boards (ASWB) and administered by the ASWB or its designated examination contractor.</w:t>
      </w:r>
    </w:p>
    <w:p>
      <w:pPr>
        <w:pStyle w:val="kar_section"/>
      </w:pPr>
      <w:r>
        <w:t xml:space="preserve">Section 3.</w:t>
      </w:r>
      <w:r>
        <w:t xml:space="preserve"> </w:t>
      </w:r>
      <w:r>
        <w:t xml:space="preserve">Examination for Licensed Clinical Social Worker. The national examination shall be the Clinical Examination developed and owned by the Association of Social Work Boards (ASWB) and administered by the ASWB or its designated examination contractor.</w:t>
      </w:r>
    </w:p>
    <w:p>
      <w:pPr>
        <w:pStyle w:val="kar_section"/>
      </w:pPr>
      <w:r>
        <w:t xml:space="preserve">Section 4.</w:t>
      </w:r>
      <w:r>
        <w:t xml:space="preserve"> </w:t>
      </w:r>
      <w:r>
        <w:t xml:space="preserve">Administration of examinations.</w:t>
      </w:r>
    </w:p>
    <w:p>
      <w:pPr>
        <w:pStyle w:val="kar_subsection"/>
      </w:pPr>
      <w:r>
        <w:t xml:space="preserve">(1)</w:t>
      </w:r>
      <w:r>
        <w:t xml:space="preserve"> </w:t>
      </w:r>
      <w:r>
        <w:t xml:space="preserve">The applicable examinations set forth in Sections 1, 2, and 3 of this administrative regulation shall be taken by computer administration.</w:t>
      </w:r>
    </w:p>
    <w:p>
      <w:pPr>
        <w:pStyle w:val="kar_subsection"/>
      </w:pPr>
      <w:r>
        <w:t xml:space="preserve">(2)</w:t>
      </w:r>
      <w:r>
        <w:t xml:space="preserve"> </w:t>
      </w:r>
      <w:r>
        <w:t xml:space="preserve">The board shall submit to the ASWB or its examination contractor a list of applicants eligible to sit for the applicable examination.</w:t>
      </w:r>
    </w:p>
    <w:p>
      <w:pPr>
        <w:pStyle w:val="kar_section"/>
      </w:pPr>
      <w:r>
        <w:t xml:space="preserve">Section 5.</w:t>
      </w:r>
      <w:r>
        <w:t xml:space="preserve"> </w:t>
      </w:r>
      <w:r>
        <w:t xml:space="preserve">Time of examinations.</w:t>
      </w:r>
    </w:p>
    <w:p>
      <w:pPr>
        <w:pStyle w:val="kar_subsection"/>
      </w:pPr>
      <w:r>
        <w:t xml:space="preserve">(1)</w:t>
      </w:r>
      <w:r>
        <w:t xml:space="preserve"> </w:t>
      </w:r>
      <w:r>
        <w:t xml:space="preserve">The applicant shall sit for the applicable examination set forth in Sections 1, 2, and 3 of this administrative regulation within one (1) year of the notice of the application being approved by the board. An applicant may sit for the referenced examinations at any approved ASWB examination contractor testing center in the United States, U.S. Territories, or Canada.</w:t>
      </w:r>
    </w:p>
    <w:p>
      <w:pPr>
        <w:pStyle w:val="kar_subsection"/>
      </w:pPr>
      <w:r>
        <w:t xml:space="preserve">(2)</w:t>
      </w:r>
      <w:r>
        <w:t xml:space="preserve"> </w:t>
      </w:r>
      <w:r>
        <w:t xml:space="preserve">If an applicant loses eligibility to sit for the applicable examination because of failure to reschedule, cancel, or appear to take the applicable examination as stated in subsection (1) of this section:</w:t>
      </w:r>
    </w:p>
    <w:p>
      <w:pPr>
        <w:pStyle w:val="kar_paragraph"/>
      </w:pPr>
      <w:r>
        <w:t xml:space="preserve">(a)</w:t>
      </w:r>
      <w:r>
        <w:t xml:space="preserve"> </w:t>
      </w:r>
      <w:r>
        <w:t xml:space="preserve">The applicant shall forfeit all fees paid; and</w:t>
      </w:r>
    </w:p>
    <w:p>
      <w:pPr>
        <w:pStyle w:val="kar_paragraph"/>
      </w:pPr>
      <w:r>
        <w:t xml:space="preserve">(b)</w:t>
      </w:r>
      <w:r>
        <w:t xml:space="preserve"> </w:t>
      </w:r>
      <w:r>
        <w:t xml:space="preserve">Any temporary license issued to the applicant shall be terminated.</w:t>
      </w:r>
    </w:p>
    <w:p>
      <w:pPr>
        <w:pStyle w:val="kar_section"/>
      </w:pPr>
      <w:r>
        <w:t xml:space="preserve">Section 6.</w:t>
      </w:r>
      <w:r>
        <w:t xml:space="preserve"> </w:t>
      </w:r>
      <w:r>
        <w:t xml:space="preserve">Examination for licensure as a social worker.</w:t>
      </w:r>
    </w:p>
    <w:p>
      <w:pPr>
        <w:pStyle w:val="kar_subsection"/>
      </w:pPr>
      <w:r>
        <w:t xml:space="preserve">(1)</w:t>
      </w:r>
      <w:r>
        <w:t xml:space="preserve"> </w:t>
      </w:r>
      <w:r>
        <w:t xml:space="preserve">The applicant shall pass the Bachelors Examination in accordance with section (1) of this administrative regulation.</w:t>
      </w:r>
    </w:p>
    <w:p>
      <w:pPr>
        <w:pStyle w:val="kar_subsection"/>
      </w:pPr>
      <w:r>
        <w:t xml:space="preserve">(2)</w:t>
      </w:r>
      <w:r>
        <w:t xml:space="preserve"> </w:t>
      </w:r>
      <w:r>
        <w:t xml:space="preserve">The applicant shall obtain a scaled score of seventy percent or greater or shall have obtained a previous national passing score as set by the ASWB which satisfied the licensure requirement at the time of that examination. The applicant shall be notified by the board of the score, as well as of passing or failing the examination.</w:t>
      </w:r>
    </w:p>
    <w:p>
      <w:pPr>
        <w:pStyle w:val="kar_section"/>
      </w:pPr>
      <w:r>
        <w:t xml:space="preserve">Section 7.</w:t>
      </w:r>
      <w:r>
        <w:t xml:space="preserve"> </w:t>
      </w:r>
      <w:r>
        <w:t xml:space="preserve">Examination for certification as a social worker.</w:t>
      </w:r>
    </w:p>
    <w:p>
      <w:pPr>
        <w:pStyle w:val="kar_subsection"/>
      </w:pPr>
      <w:r>
        <w:t xml:space="preserve">(1)</w:t>
      </w:r>
      <w:r>
        <w:t xml:space="preserve"> </w:t>
      </w:r>
      <w:r>
        <w:t xml:space="preserve">The applicant shall pass the Masters Examination in accordance with section (2) of this administrative regulation.</w:t>
      </w:r>
    </w:p>
    <w:p>
      <w:pPr>
        <w:pStyle w:val="kar_subsection"/>
      </w:pPr>
      <w:r>
        <w:t xml:space="preserve">(2)</w:t>
      </w:r>
      <w:r>
        <w:t xml:space="preserve"> </w:t>
      </w:r>
      <w:r>
        <w:t xml:space="preserve">The applicant shall obtain a scaled score of seventy percent or greater or shall have obtained a previous national passing score as set by the ASWB which satisfied the certification requirement at the time of that examination. The applicant shall be notified by the board of the score, as well as of passing or failing the examination.</w:t>
      </w:r>
    </w:p>
    <w:p>
      <w:pPr>
        <w:pStyle w:val="kar_section"/>
      </w:pPr>
      <w:r>
        <w:t xml:space="preserve">Section 8.</w:t>
      </w:r>
      <w:r>
        <w:t xml:space="preserve"> </w:t>
      </w:r>
      <w:r>
        <w:t xml:space="preserve">Examination for licensure as a clinical social worker.</w:t>
      </w:r>
    </w:p>
    <w:p>
      <w:pPr>
        <w:pStyle w:val="kar_subsection"/>
      </w:pPr>
      <w:r>
        <w:t xml:space="preserve">(1)</w:t>
      </w:r>
      <w:r>
        <w:t xml:space="preserve"> </w:t>
      </w:r>
      <w:r>
        <w:t xml:space="preserve">The applicant shall pass the Clinical Examination in accordance with section (3) of this administrative regulation.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The applicant shall obtain a scaled score of seventy percent or greater or shall have obtained a previous national passing score as set by the ASWB which satisfied the licensure requirement at the time of that examination. The applicant shall be notified by the board of the score, as well as of passing or failing the examination.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e2d45ed84b46e2" /><Relationship Type="http://schemas.openxmlformats.org/officeDocument/2006/relationships/settings" Target="/word/settings.xml" Id="R8682a32523994973" /></Relationships>
</file>