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148cf4b5604e34" /></Relationships>
</file>

<file path=word/document.xml><?xml version="1.0" encoding="utf-8"?>
<w:document xmlns:w="http://schemas.openxmlformats.org/wordprocessingml/2006/main">
  <w:body>
    <w:p>
      <w:pPr>
        <w:pStyle w:val="kar_markup_header"/>
      </w:pPr>
      <w:r>
        <w:t xml:space="preserve">FINANCE AND ADMINISTRATION</w:t>
      </w:r>
    </w:p>
    <w:p>
      <w:pPr>
        <w:pStyle w:val="kar_markup_header"/>
      </w:pPr>
      <w:r>
        <w:t xml:space="preserve">Department of Revenue</w:t>
      </w:r>
    </w:p>
    <w:p>
      <w:pPr>
        <w:pStyle w:val="kar_markup_header"/>
        <w:ind w:firstLine="0"/>
      </w:pPr>
      <w:r>
        <w:t>(Amendment)</w:t>
      </w:r>
    </w:p>
    <w:p>
      <w:pPr>
        <w:pStyle w:val="kar_citation"/>
      </w:pPr>
      <w:r>
        <w:t>103 KAR 40:010.</w:t>
      </w:r>
      <w:r>
        <w:t xml:space="preserve"> </w:t>
      </w:r>
      <w:r>
        <w:t xml:space="preserve">Maintaining records.</w:t>
      </w:r>
    </w:p>
    <w:p>
      <w:pPr>
        <w:pStyle w:val="kar_markup_metadata"/>
      </w:pPr>
      <w:r>
        <w:t xml:space="preserve">RELATES TO: </w:t>
      </w:r>
      <w:r>
        <w:t xml:space="preserve">KRS </w:t>
      </w:r>
      <w:r>
        <w:rPr>
          <w:u w:val="single"/>
        </w:rPr>
        <w:t xml:space="preserve">241.010, </w:t>
      </w:r>
      <w:r>
        <w:t xml:space="preserve">244.150</w:t>
      </w:r>
    </w:p>
    <w:p>
      <w:pPr>
        <w:pStyle w:val="kar_markup_metadata"/>
      </w:pPr>
      <w:r>
        <w:t xml:space="preserve">STATUTORY AUTHORITY: </w:t>
      </w:r>
      <w:r>
        <w:t xml:space="preserve">KRS 131.130, 244.150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w:t>
      </w:r>
      <w:r>
        <w:rPr>
          <w:u w:val="single"/>
        </w:rPr>
        <w:t xml:space="preserve">KRS 244.150 authorizes the Department of Revenue to promulgate an administrative regulation to establish </w:t>
      </w:r>
      <w:r>
        <w:t>[</w:t>
      </w:r>
      <w:r>
        <w:rPr>
          <w:strike w:val="true"/>
        </w:rPr>
        <w:t xml:space="preserve">This administrative regulation, under the authority of KRS 244.150, specifies </w:t>
      </w:r>
      <w:r>
        <w:t>]</w:t>
      </w:r>
      <w:r>
        <w:t xml:space="preserve">the length of time that records must be accessible.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"Alcoholic beverage" is defined by KRS 241.010(2)</w:t>
      </w:r>
    </w:p>
    <w:p>
      <w:pPr>
        <w:pStyle w:val="kar_subsection"/>
      </w:pPr>
      <w:r>
        <w:rPr>
          <w:u w:val="single"/>
        </w:rPr>
        <w:t xml:space="preserve">(2)</w:t>
      </w:r>
      <w:r>
        <w:t xml:space="preserve"> </w:t>
      </w:r>
      <w:r>
        <w:rPr>
          <w:u w:val="single"/>
        </w:rPr>
        <w:t xml:space="preserve">"Cannabis-infused beverage" is defined by KRS 241.010(13).</w:t>
      </w:r>
    </w:p>
    <w:p>
      <w:pPr>
        <w:pStyle w:val="kar_section"/>
      </w:pPr>
      <w:r>
        <w:rPr>
          <w:u w:val="single"/>
        </w:rPr>
        <w:t xml:space="preserve">Section 2.</w:t>
      </w:r>
      <w:r>
        <w:t xml:space="preserve"> </w:t>
      </w:r>
      <w:r>
        <w:t xml:space="preserve">All records of a licensee trafficking in alcoholic beverages</w:t>
      </w:r>
      <w:r>
        <w:rPr>
          <w:u w:val="single"/>
        </w:rPr>
        <w:t xml:space="preserve"> or cannabis-infused beverages</w:t>
      </w:r>
      <w:r>
        <w:t xml:space="preserve"> shall be accessible upon demand for inspection by agents of the Department of Revenue for a period of at least four (4) years.</w:t>
      </w:r>
    </w:p>
    <w:p>
      <w:pPr>
        <w:pStyle w:val="kar_signature"/>
      </w:pPr>
      <w:r>
        <w:t xml:space="preserve">THOMAS B. MILLER, Commissioner</w:t>
      </w:r>
    </w:p>
    <w:p>
      <w:pPr>
        <w:pStyle w:val="kar_normal"/>
      </w:pPr>
      <w:r>
        <w:t xml:space="preserve"/>
      </w:r>
    </w:p>
    <w:p>
      <w:pPr>
        <w:pStyle w:val="kar_approved_by"/>
      </w:pPr>
      <w:r>
        <w:t xml:space="preserve">APPROVED BY AGENCY: July 8,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comment on this administrative regulation shall be held on September 23, 2026, at 10:00 a.m. ET/9:00 a.m. CT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Phone:(502) 564-0424 Email:DORTAXPOLICY@ky.gov </w:t>
      </w:r>
    </w:p>
    <w:p>
      <w:pPr>
        <w:pStyle w:val="kar_normal"/>
        <w:ind w:left="0"/>
      </w:pPr>
      <w:r>
        <w:t xml:space="preserve">Subject Headings:</w:t>
      </w:r>
      <w:r>
        <w:t xml:space="preserve"> Finance and Administration; Taxation; Alcoholic beverages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time frame in which records are required to be maintained for transactions involving alcoholic beverages.</w:t>
      </w:r>
    </w:p>
    <w:p>
      <w:pPr>
        <w:pStyle w:val="kar_normal"/>
        <w:ind w:left="576"/>
      </w:pPr>
      <w:r>
        <w:t xml:space="preserve">(b) The necessity of this administrative regulation:</w:t>
      </w:r>
    </w:p>
    <w:p>
      <w:pPr>
        <w:pStyle w:val="kar_normal"/>
        <w:ind w:left="720"/>
      </w:pPr>
      <w:r>
        <w:t xml:space="preserve">This administrative regulation is necessary to provide guidance to taxpayers on how long records for alcoholic beverage sales and cannabis-infused beverage sales are required to be kept.</w:t>
      </w:r>
    </w:p>
    <w:p>
      <w:pPr>
        <w:pStyle w:val="kar_normal"/>
        <w:ind w:left="576"/>
      </w:pPr>
      <w:r>
        <w:t xml:space="preserve">(c) How this administrative regulation conforms to the content of the authorizing statutes:</w:t>
      </w:r>
    </w:p>
    <w:p>
      <w:pPr>
        <w:pStyle w:val="kar_normal"/>
        <w:ind w:left="720"/>
      </w:pPr>
      <w:r>
        <w:t xml:space="preserve">KRS 244.150 requires the Department to promulgate an administrative regulation regarding records to be maintained by licensees.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time frame in which records are required to be maintained for transactions involving alcoholic beverages. This amendment would define alcoholic beverages and cannabis-infused beverages and include cannabis-infused beverages in the records retention requirement.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would define alcoholic beverages and cannabis-infused beverages and include that records must be maintained for sales of cannabis-infused beverages.</w:t>
      </w:r>
    </w:p>
    <w:p>
      <w:pPr>
        <w:pStyle w:val="kar_normal"/>
        <w:ind w:left="576"/>
      </w:pPr>
      <w:r>
        <w:t xml:space="preserve">(b) The necessity of the amendment to this administrative regulation:</w:t>
      </w:r>
    </w:p>
    <w:p>
      <w:pPr>
        <w:pStyle w:val="kar_normal"/>
        <w:ind w:left="720"/>
      </w:pPr>
      <w:r>
        <w:t xml:space="preserve">See 2(a).</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Does this administrative regulation or amendment implement legislation from the previous five years?</w:t>
      </w:r>
      <w:r>
        <w:t xml:space="preserve"> Cannabis-infused beverages became taxable during the 2025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Licensees who sell cannabis-infused beverages will be required to maintain records on sales of those products.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amendment will require licensees to maintain records of cannabis-infused beverages.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Department does not anticipate additional costs to be incurred.</w:t>
      </w:r>
    </w:p>
    <w:p>
      <w:pPr>
        <w:pStyle w:val="kar_normal"/>
        <w:ind w:left="576"/>
      </w:pPr>
      <w:r>
        <w:t xml:space="preserve">(c) As a result of compliance, what benefits will accrue to the entities identified in question (4):</w:t>
      </w:r>
    </w:p>
    <w:p>
      <w:pPr>
        <w:pStyle w:val="kar_normal"/>
        <w:ind w:left="720"/>
      </w:pPr>
      <w:r>
        <w:t xml:space="preserve">This amendment provides guidance on how long to maintain records for sales of cannabis-infused beverages. The entities will benefit by knowing how long to maintain records that the Department main inspect at any time.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costs would be absorbed in the current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fees are included in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included in this administrative regulation.</w:t>
      </w:r>
    </w:p>
    <w:p>
      <w:pPr>
        <w:pStyle w:val="kar_normal"/>
        <w:ind w:left="288"/>
      </w:pPr>
      <w:r>
        <w:t xml:space="preserve">(10) TIERING: Is tiering applied?</w:t>
      </w:r>
    </w:p>
    <w:p>
      <w:pPr>
        <w:pStyle w:val="kar_normal"/>
        <w:ind w:left="432"/>
      </w:pPr>
      <w:r>
        <w:t xml:space="preserve">{Explain why or why not} Tiering is not applied because the records retention applies to all licensees who sell alcoholic beverages or cannabis-infused beverages.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 and 244.150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permits the Department to promulgate administrative regulations for the administration of all tax laws. KRS 244.150 requires the Department to promulgate an administrative regulation to establish the time period for which records must be maintained by licensees for sales of alcoholic beverages or cannabis-infused beverages.</w:t>
      </w:r>
    </w:p>
    <w:p>
      <w:pPr>
        <w:pStyle w:val="kar_normal"/>
        <w:ind w:left="288"/>
      </w:pPr>
      <w:r>
        <w:t xml:space="preserve">(3)(a) Identify the promulgating agency and any other affected state units, parts, or divisions:</w:t>
      </w:r>
    </w:p>
    <w:p>
      <w:pPr>
        <w:pStyle w:val="kar_normal"/>
        <w:ind w:left="432"/>
      </w:pPr>
      <w:r>
        <w:t xml:space="preserve">This amendment does not impact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should not impact local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Licensees who sell alcoholic beverages or cannabis-infused beverages will be required to maintain records.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anticipated.</w:t>
      </w:r>
    </w:p>
    <w:p>
      <w:pPr>
        <w:pStyle w:val="kar_normal"/>
        <w:ind w:left="288"/>
      </w:pPr>
      <w:r>
        <w:t xml:space="preserve">(b) Methodology and resources used to reach this conclusion:</w:t>
      </w:r>
    </w:p>
    <w:p>
      <w:pPr>
        <w:pStyle w:val="kar_normal"/>
        <w:ind w:left="432"/>
      </w:pPr>
      <w:r>
        <w:t xml:space="preserve">This amendment adds a definition and clarifies that the records retention also applies to sales of cannabis-infused beverages.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 major economic impact anticipated with this amendment.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adds a definition and clarifies that the records retention also applies to sales of cannabis-infused beverages.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cdb6a078c446d" /><Relationship Type="http://schemas.openxmlformats.org/officeDocument/2006/relationships/settings" Target="/word/settings.xml" Id="R91b9765f718f42c4" /></Relationships>
</file>