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33fec46a527431f"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17:012E.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17:012E.</w:t>
      </w:r>
      <w:r>
        <w:t xml:space="preserve"> </w:t>
      </w:r>
      <w:r>
        <w:t xml:space="preserve">Application, education, and requirements for licensure as a speech-language pathologist.</w:t>
      </w:r>
    </w:p>
    <w:p>
      <w:pPr>
        <w:pStyle w:val="kar_markup_metadata"/>
      </w:pPr>
      <w:r>
        <w:t xml:space="preserve">EFFECTIVE: July 16, 2026</w:t>
      </w:r>
    </w:p>
    <w:p>
      <w:pPr>
        <w:pStyle w:val="kar_markup_metadata"/>
      </w:pPr>
      <w:r>
        <w:t xml:space="preserve">RELATES TO: </w:t>
      </w:r>
      <w:r>
        <w:t xml:space="preserve">KRS 334A.033, 334.035(1)(c), 334A.050, 334A.187</w:t>
      </w:r>
    </w:p>
    <w:p>
      <w:pPr>
        <w:pStyle w:val="kar_markup_metadata"/>
      </w:pPr>
      <w:r>
        <w:t xml:space="preserve">STATUTORY AUTHORITY: </w:t>
      </w:r>
      <w:r>
        <w:t xml:space="preserve">KRS 334A.033, 334A.050, 334A.055, 334A.080(3)</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334A.033 and 334A.050 require the board to promulgate administrative regulations concerning licensure as a speech-language pathologist, including a requirement that an applicant meet specified education and experience criteria as determined by the board. KRS 334A.055 requires applicants seeking an initial license to engage in a profession authorized by the board to obtain a national and state criminal background investigation by the Kentucky State Police and the Federal Bureau of Investigation. This administrative regulation establishes criteria for licensure for speech-language pathologists.</w:t>
      </w:r>
    </w:p>
    <w:p>
      <w:pPr>
        <w:pStyle w:val="kar_section"/>
      </w:pPr>
      <w:r>
        <w:t xml:space="preserve">Section 1.</w:t>
      </w:r>
      <w:r>
        <w:t xml:space="preserve"> </w:t>
      </w:r>
      <w:r>
        <w:t xml:space="preserve">Application for Licensure. Each applicant for licensure as an SLP shall:</w:t>
      </w:r>
    </w:p>
    <w:p>
      <w:pPr>
        <w:pStyle w:val="kar_subsection"/>
      </w:pPr>
      <w:r>
        <w:t xml:space="preserve">(1)</w:t>
      </w:r>
      <w:r>
        <w:t xml:space="preserve"> </w:t>
      </w:r>
      <w:r>
        <w:t xml:space="preserve">Submit an "Application for Licensure", form DLP-LPC-04;</w:t>
      </w:r>
    </w:p>
    <w:p>
      <w:pPr>
        <w:pStyle w:val="kar_subsection"/>
      </w:pPr>
      <w:r>
        <w:t xml:space="preserve">(2)</w:t>
      </w:r>
      <w:r>
        <w:t xml:space="preserve"> </w:t>
      </w:r>
      <w:r>
        <w:t xml:space="preserve">Pay the fee as established in 201 KAR 17:030;</w:t>
      </w:r>
    </w:p>
    <w:p>
      <w:pPr>
        <w:pStyle w:val="kar_subsection"/>
      </w:pPr>
      <w:r>
        <w:t xml:space="preserve">(3)</w:t>
      </w:r>
      <w:r>
        <w:t xml:space="preserve"> </w:t>
      </w:r>
      <w:r>
        <w:t xml:space="preserve">Have official academic transcripts sent directly by the academic institution to the board; and</w:t>
      </w:r>
    </w:p>
    <w:p>
      <w:pPr>
        <w:pStyle w:val="kar_subsection"/>
      </w:pPr>
      <w:r>
        <w:t xml:space="preserve">(4)</w:t>
      </w:r>
      <w:r>
        <w:t xml:space="preserve"> </w:t>
      </w:r>
      <w: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t xml:space="preserve">Section 2.</w:t>
      </w:r>
      <w:r>
        <w:t xml:space="preserve"> </w:t>
      </w:r>
      <w:r>
        <w:t xml:space="preserve">Education and Experience. Each applicant for licensure in speech-language pathology in Kentucky shall meet the requirements established in this section.</w:t>
      </w:r>
    </w:p>
    <w:p>
      <w:pPr>
        <w:pStyle w:val="kar_subsection"/>
      </w:pPr>
      <w:r>
        <w:t xml:space="preserve">(1)</w:t>
      </w:r>
      <w:r>
        <w:t xml:space="preserve"> </w:t>
      </w:r>
    </w:p>
    <w:p>
      <w:pPr>
        <w:pStyle w:val="kar_paragraph"/>
      </w:pPr>
      <w:r>
        <w:t xml:space="preserve">(a)</w:t>
      </w:r>
      <w:r>
        <w:t xml:space="preserve"> </w:t>
      </w:r>
      <w:r>
        <w:t xml:space="preserve">An applicant shall provide a certified transcript confirming attainment of a master's degree in the area of speech-language pathology or communication disorders from a program accredited by the Council for Academic Accreditation of the American Speech Language Hearing Association, or possess equivalent education.</w:t>
      </w:r>
    </w:p>
    <w:p>
      <w:pPr>
        <w:pStyle w:val="kar_paragraph"/>
      </w:pPr>
      <w:r>
        <w:t xml:space="preserve">(b)</w:t>
      </w:r>
      <w:r>
        <w:t xml:space="preserve"> </w:t>
      </w:r>
      <w:r>
        <w:t xml:space="preserve">An applicant shall have equivalent education if the applicant holds a doctoral degree in speech-language pathology, communication disorders, or a related area from a program accredited by the Council for Academic Accreditation of the American Speech Language Hearing Association.</w:t>
      </w:r>
    </w:p>
    <w:p>
      <w:pPr>
        <w:pStyle w:val="kar_subsection"/>
      </w:pPr>
      <w:r>
        <w:t xml:space="preserve">(2)</w:t>
      </w:r>
      <w:r>
        <w:t xml:space="preserve"> </w:t>
      </w:r>
      <w:r>
        <w:t xml:space="preserve">The applicant shall have passed a national PRAXIS examination in speech-language pathology.</w:t>
      </w:r>
    </w:p>
    <w:p>
      <w:pPr>
        <w:pStyle w:val="kar_subsection"/>
      </w:pPr>
      <w:r>
        <w:t xml:space="preserve">(3)</w:t>
      </w:r>
      <w:r>
        <w:t xml:space="preserve"> </w:t>
      </w:r>
      <w:r>
        <w:t xml:space="preserve">In accordance with KRS 334A.035(1)(c), within thirty (30) days after completion of the postgraduate professional experience, the applicant shall submit a complete application for licensure under this section. The applicant's supervisor shall verify the successful completion of postgraduate professional experience by signing the application, or the applicant may submit their American Speech-Language-Hearing Association (ASHA) certification number as proof of successful completion of the postgraduate professional experience.</w:t>
      </w:r>
    </w:p>
    <w:p>
      <w:pPr>
        <w:pStyle w:val="kar_subsection"/>
      </w:pPr>
      <w:r>
        <w:t xml:space="preserve">(4)</w:t>
      </w:r>
      <w:r>
        <w:t xml:space="preserve"> </w:t>
      </w:r>
      <w:r>
        <w:t xml:space="preserve">In addition to fulfilling the requirements of this administrative regulation and paying the requisite fees established in 201 KAR 17:030, Section 1, an applicant licensed in another state shall comply with the provisions of KRS 334A.187.</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"Application for Licensure", DPL-SLPA-4, July 2026,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77a509a31ca4ebc" /><Relationship Type="http://schemas.openxmlformats.org/officeDocument/2006/relationships/settings" Target="/word/settings.xml" Id="Rbf3059725f80492c" /></Relationships>
</file>