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802c2d14444ec0" /></Relationships>
</file>

<file path=word/document.xml><?xml version="1.0" encoding="utf-8"?>
<w:document xmlns:w="http://schemas.openxmlformats.org/wordprocessingml/2006/main">
  <w:body>
    <w:p>
      <w:pPr>
        <w:pStyle w:val="kar_citation"/>
      </w:pPr>
      <w:r>
        <w:t>201 KAR 9:024.</w:t>
      </w:r>
      <w:r>
        <w:t xml:space="preserve"> </w:t>
      </w:r>
      <w:r>
        <w:t xml:space="preserve">Application and reregistration forms; personal interviews; hearings.</w:t>
      </w:r>
    </w:p>
    <w:p>
      <w:pPr>
        <w:pStyle w:val="kar_markup_metadata"/>
      </w:pPr>
      <w:r>
        <w:t xml:space="preserve">RELATES TO: </w:t>
      </w:r>
      <w:r>
        <w:t xml:space="preserve">KRS 311.530-311.610, 311.990</w:t>
      </w:r>
    </w:p>
    <w:p>
      <w:pPr>
        <w:pStyle w:val="kar_markup_metadata"/>
      </w:pPr>
      <w:r>
        <w:t xml:space="preserve">STATUTORY AUTHORITY: </w:t>
      </w:r>
      <w:r>
        <w:t xml:space="preserve">KRS 311.565</w:t>
      </w:r>
    </w:p>
    <w:p>
      <w:pPr>
        <w:pStyle w:val="kar_markup_metadata"/>
      </w:pPr>
      <w:r>
        <w:t xml:space="preserve">NECESSITY, FUNCTION, AND CONFORMITY: </w:t>
      </w:r>
      <w:r>
        <w:t xml:space="preserve">KRS 311.565 empowers the State Board of Medical Licensure to exercise all the administrative functions of the state in the prevention of empiricism and in the administrative regulation of the practice of medicine and osteopathy and authorizes the board to establish requirements and standards relating thereto. The purpose of this administrative regulation is to establish a basis for the gathering of information necessary for the thorough evaluation of an applicant for any license or permit issued by the board.</w:t>
      </w:r>
    </w:p>
    <w:p>
      <w:pPr>
        <w:pStyle w:val="kar_section"/>
      </w:pPr>
      <w:r>
        <w:t xml:space="preserve">Section 1.</w:t>
      </w:r>
      <w:r>
        <w:t xml:space="preserve"> </w:t>
      </w:r>
      <w:r>
        <w:t xml:space="preserve">Forms. The executive director shall prepare whatever forms are needed to obtain all information necessary for evaluating applicants in regard to the requirements for obtaining, maintaining and reobtaining licenses and permits issued by the board. The executive director may require the production of photographs, fingerprints and other personal history data as necessary. All forms to be signed by the applicant shall be notarized as having actually been signed by the applicant and as being a true and accurate statement of the matters contained therein.</w:t>
      </w:r>
    </w:p>
    <w:p>
      <w:pPr>
        <w:pStyle w:val="kar_section"/>
      </w:pPr>
      <w:r>
        <w:t xml:space="preserve">Section 2.</w:t>
      </w:r>
      <w:r>
        <w:t xml:space="preserve"> </w:t>
      </w:r>
      <w:r>
        <w:t xml:space="preserve">Application Effective Upon Completion. An application for a license or permit, for the renewal or registration of a license or permit or for the reregistration of a license will not be effective for purposes of review for approval unless and until the appropriate forms have been satisfactorily completed and all other requested information has been produced. The executive director, in his discretion, may temporarily excuse the satisfactory completion of any form or production of any requested item if it would cause an undue hardship to the applicant or the general public.</w:t>
      </w:r>
    </w:p>
    <w:p>
      <w:pPr>
        <w:pStyle w:val="kar_section"/>
      </w:pPr>
      <w:r>
        <w:t xml:space="preserve">Section 3.</w:t>
      </w:r>
      <w:r>
        <w:t xml:space="preserve"> </w:t>
      </w:r>
      <w:r>
        <w:t xml:space="preserve">Personal Interviews. The executive director may require any applicant to appear before him, his designee or the board in regard to any matter relating to the requirements for licensure.</w:t>
      </w:r>
    </w:p>
    <w:p>
      <w:pPr>
        <w:pStyle w:val="kar_section"/>
      </w:pPr>
      <w:r>
        <w:t xml:space="preserve">Section 4.</w:t>
      </w:r>
      <w:r>
        <w:t xml:space="preserve"> </w:t>
      </w:r>
      <w:r>
        <w:t xml:space="preserve">Hearings. The board, in its discretion, may direct formal or informal hearings be held in connection with any matter relating to the qualifications for licensure of any applicant or group of applicants.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311; eff. 10-9-1984; Crt eff. 3-29-2018; Crt eff. 2-26-2025.)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6a773db4374aed" /><Relationship Type="http://schemas.openxmlformats.org/officeDocument/2006/relationships/settings" Target="/word/settings.xml" Id="R40b07b56321c45f7" /></Relationships>
</file>